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5558" w14:textId="77777777" w:rsidR="000E180A" w:rsidRPr="00F439E9" w:rsidRDefault="000E180A" w:rsidP="5C6BDF0E">
      <w:pPr>
        <w:pStyle w:val="Ingetavstnd"/>
      </w:pPr>
    </w:p>
    <w:p w14:paraId="3068D820" w14:textId="77777777" w:rsidR="001B3DDA" w:rsidRPr="00F439E9" w:rsidRDefault="001B3DDA" w:rsidP="001B3DDA">
      <w:pPr>
        <w:spacing w:line="240" w:lineRule="auto"/>
        <w:contextualSpacing/>
        <w:rPr>
          <w:rFonts w:ascii="KorolevLiU Bold" w:eastAsiaTheme="majorEastAsia" w:hAnsi="KorolevLiU Bold" w:cstheme="majorBidi"/>
          <w:bCs/>
          <w:color w:val="auto"/>
          <w:spacing w:val="-10"/>
          <w:kern w:val="28"/>
          <w:sz w:val="56"/>
          <w:szCs w:val="56"/>
          <w:lang w:val="sv-SE"/>
        </w:rPr>
      </w:pPr>
      <w:r w:rsidRPr="00F439E9">
        <w:rPr>
          <w:rFonts w:ascii="KorolevLiU Bold" w:eastAsiaTheme="majorEastAsia" w:hAnsi="KorolevLiU Bold" w:cstheme="majorBidi"/>
          <w:color w:val="auto"/>
          <w:spacing w:val="-10"/>
          <w:kern w:val="28"/>
          <w:sz w:val="56"/>
          <w:szCs w:val="56"/>
          <w:lang w:val="sv-SE"/>
        </w:rPr>
        <w:t>Kurslitteratur</w:t>
      </w:r>
    </w:p>
    <w:p w14:paraId="32DD38B0" w14:textId="6806316F" w:rsidR="00C73164" w:rsidRDefault="417D47D5" w:rsidP="00B57235">
      <w:pPr>
        <w:pStyle w:val="Rubrik1"/>
        <w:rPr>
          <w:lang w:val="sv-SE"/>
        </w:rPr>
      </w:pPr>
      <w:r w:rsidRPr="00F439E9">
        <w:rPr>
          <w:lang w:val="sv-SE"/>
        </w:rPr>
        <w:t>Risk, sårbarhet och hållbar utveckling i samhällsplaneringen</w:t>
      </w:r>
    </w:p>
    <w:p w14:paraId="42052125" w14:textId="77777777" w:rsidR="00763ADD" w:rsidRDefault="001B2194" w:rsidP="00B57235">
      <w:pPr>
        <w:pStyle w:val="Rubrik1"/>
        <w:rPr>
          <w:lang w:val="sv-SE"/>
        </w:rPr>
      </w:pPr>
      <w:r w:rsidRPr="00F439E9">
        <w:rPr>
          <w:lang w:val="sv-SE"/>
        </w:rPr>
        <w:t>Geografi</w:t>
      </w:r>
      <w:r w:rsidR="00C73164">
        <w:rPr>
          <w:lang w:val="sv-SE"/>
        </w:rPr>
        <w:t xml:space="preserve"> (Delkurs Risk och sårbarhet)</w:t>
      </w:r>
      <w:r w:rsidRPr="00F439E9">
        <w:rPr>
          <w:lang w:val="sv-SE"/>
        </w:rPr>
        <w:t xml:space="preserve"> (</w:t>
      </w:r>
      <w:proofErr w:type="gramStart"/>
      <w:r w:rsidRPr="00F439E9">
        <w:rPr>
          <w:lang w:val="sv-SE"/>
        </w:rPr>
        <w:t>61-90</w:t>
      </w:r>
      <w:proofErr w:type="gramEnd"/>
      <w:r w:rsidRPr="00F439E9">
        <w:rPr>
          <w:lang w:val="sv-SE"/>
        </w:rPr>
        <w:t xml:space="preserve"> </w:t>
      </w:r>
      <w:proofErr w:type="spellStart"/>
      <w:r w:rsidRPr="00F439E9">
        <w:rPr>
          <w:lang w:val="sv-SE"/>
        </w:rPr>
        <w:t>hp</w:t>
      </w:r>
      <w:proofErr w:type="spellEnd"/>
      <w:r w:rsidRPr="00F439E9">
        <w:rPr>
          <w:lang w:val="sv-SE"/>
        </w:rPr>
        <w:t>)</w:t>
      </w:r>
    </w:p>
    <w:p w14:paraId="41381F6A" w14:textId="01916610" w:rsidR="001B3DDA" w:rsidRPr="00F439E9" w:rsidRDefault="001B3DDA" w:rsidP="00B57235">
      <w:pPr>
        <w:pStyle w:val="Rubrik1"/>
        <w:rPr>
          <w:lang w:val="sv-SE"/>
        </w:rPr>
      </w:pPr>
      <w:r w:rsidRPr="00F439E9">
        <w:rPr>
          <w:lang w:val="sv-SE"/>
        </w:rPr>
        <w:t xml:space="preserve">7,5 </w:t>
      </w:r>
      <w:proofErr w:type="spellStart"/>
      <w:r w:rsidRPr="00F439E9">
        <w:rPr>
          <w:lang w:val="sv-SE"/>
        </w:rPr>
        <w:t>hp</w:t>
      </w:r>
      <w:proofErr w:type="spellEnd"/>
    </w:p>
    <w:p w14:paraId="37C924B4" w14:textId="60B8D4D7" w:rsidR="00920374" w:rsidRPr="00F439E9" w:rsidRDefault="001B3DDA" w:rsidP="00920374">
      <w:pPr>
        <w:keepNext/>
        <w:keepLines/>
        <w:pBdr>
          <w:bottom w:val="single" w:sz="4" w:space="1" w:color="auto"/>
        </w:pBdr>
        <w:spacing w:before="300" w:after="120"/>
        <w:outlineLvl w:val="1"/>
        <w:rPr>
          <w:rFonts w:ascii="KorolevLiU Medium" w:hAnsi="KorolevLiU Medium" w:cs="Calibri-Bold"/>
          <w:szCs w:val="26"/>
          <w:lang w:val="sv-SE"/>
        </w:rPr>
      </w:pPr>
      <w:r w:rsidRPr="00F439E9">
        <w:rPr>
          <w:rFonts w:ascii="KorolevLiU Medium" w:hAnsi="KorolevLiU Medium" w:cs="Calibri-Bold"/>
          <w:szCs w:val="26"/>
          <w:lang w:val="sv-SE"/>
        </w:rPr>
        <w:t>Ht 202</w:t>
      </w:r>
      <w:r w:rsidR="00B933D0">
        <w:rPr>
          <w:rFonts w:ascii="KorolevLiU Medium" w:hAnsi="KorolevLiU Medium" w:cs="Calibri-Bold"/>
          <w:szCs w:val="26"/>
          <w:lang w:val="sv-SE"/>
        </w:rPr>
        <w:t>5</w:t>
      </w:r>
      <w:r w:rsidR="00C73164">
        <w:rPr>
          <w:rFonts w:ascii="KorolevLiU Medium" w:hAnsi="KorolevLiU Medium" w:cs="Calibri-Bold"/>
          <w:szCs w:val="26"/>
          <w:lang w:val="sv-SE"/>
        </w:rPr>
        <w:t>/2</w:t>
      </w:r>
      <w:r w:rsidR="00B933D0">
        <w:rPr>
          <w:rFonts w:ascii="KorolevLiU Medium" w:hAnsi="KorolevLiU Medium" w:cs="Calibri-Bold"/>
          <w:szCs w:val="26"/>
          <w:lang w:val="sv-SE"/>
        </w:rPr>
        <w:t>6</w:t>
      </w:r>
      <w:r w:rsidRPr="00F439E9">
        <w:rPr>
          <w:rFonts w:ascii="KorolevLiU Medium" w:hAnsi="KorolevLiU Medium" w:cs="Calibri-Bold"/>
          <w:szCs w:val="26"/>
          <w:lang w:val="sv-SE"/>
        </w:rPr>
        <w:t xml:space="preserve"> V. 49–03</w:t>
      </w:r>
      <w:r w:rsidR="00920374" w:rsidRPr="00F439E9">
        <w:rPr>
          <w:rFonts w:ascii="KorolevLiU Medium" w:hAnsi="KorolevLiU Medium" w:cs="Calibri-Bold"/>
          <w:szCs w:val="26"/>
          <w:lang w:val="sv-SE"/>
        </w:rPr>
        <w:t xml:space="preserve">, </w:t>
      </w:r>
      <w:proofErr w:type="spellStart"/>
      <w:r w:rsidRPr="00F439E9">
        <w:rPr>
          <w:rFonts w:ascii="KorolevLiU Medium" w:hAnsi="KorolevLiU Medium" w:cs="Calibri-Bold"/>
          <w:szCs w:val="26"/>
          <w:lang w:val="sv-SE"/>
        </w:rPr>
        <w:t>Kurskod</w:t>
      </w:r>
      <w:proofErr w:type="spellEnd"/>
      <w:r w:rsidRPr="00F439E9">
        <w:rPr>
          <w:rFonts w:ascii="KorolevLiU Medium" w:hAnsi="KorolevLiU Medium" w:cs="Calibri-Bold"/>
          <w:szCs w:val="26"/>
          <w:lang w:val="sv-SE"/>
        </w:rPr>
        <w:t>: 727G15, 93GE53</w:t>
      </w:r>
      <w:r w:rsidR="00A618BF" w:rsidRPr="00F439E9">
        <w:rPr>
          <w:rFonts w:ascii="KorolevLiU Medium" w:hAnsi="KorolevLiU Medium" w:cs="Calibri-Bold"/>
          <w:szCs w:val="26"/>
          <w:lang w:val="sv-SE"/>
        </w:rPr>
        <w:br/>
      </w:r>
    </w:p>
    <w:p w14:paraId="4F76E03D" w14:textId="77777777" w:rsidR="00B57235" w:rsidRDefault="00B57235" w:rsidP="00F42D62">
      <w:pPr>
        <w:pStyle w:val="Rubrik1"/>
        <w:rPr>
          <w:lang w:val="sv-SE"/>
        </w:rPr>
      </w:pPr>
    </w:p>
    <w:p w14:paraId="76D6AD76" w14:textId="57400E71" w:rsidR="00F42D62" w:rsidRDefault="00F42D62" w:rsidP="00F42D62">
      <w:pPr>
        <w:pStyle w:val="Rubrik1"/>
        <w:rPr>
          <w:lang w:val="sv-SE"/>
        </w:rPr>
      </w:pPr>
      <w:r>
        <w:rPr>
          <w:lang w:val="sv-SE"/>
        </w:rPr>
        <w:t>Litteratur i relation till kursens examinerande moment</w:t>
      </w:r>
    </w:p>
    <w:p w14:paraId="1B407D91" w14:textId="4530A92B" w:rsidR="00DE3234" w:rsidRPr="00C24B1D" w:rsidRDefault="00DE3234" w:rsidP="00FC2765">
      <w:pPr>
        <w:pStyle w:val="Rubrik2"/>
      </w:pPr>
      <w:r w:rsidRPr="00C24B1D">
        <w:t>S</w:t>
      </w:r>
      <w:r w:rsidR="00FB4EFB" w:rsidRPr="00C24B1D">
        <w:t>em</w:t>
      </w:r>
      <w:r w:rsidRPr="00C24B1D">
        <w:t xml:space="preserve">1: </w:t>
      </w:r>
      <w:proofErr w:type="spellStart"/>
      <w:r w:rsidRPr="00C24B1D">
        <w:t>Litteraturseminarium</w:t>
      </w:r>
      <w:proofErr w:type="spellEnd"/>
      <w:r w:rsidRPr="00C24B1D">
        <w:t xml:space="preserve"> – </w:t>
      </w:r>
      <w:proofErr w:type="spellStart"/>
      <w:r w:rsidRPr="00C24B1D">
        <w:t>Matsäkerhet</w:t>
      </w:r>
      <w:proofErr w:type="spellEnd"/>
    </w:p>
    <w:p w14:paraId="152C3AAB" w14:textId="77777777" w:rsidR="00CB059B" w:rsidRPr="00F439E9" w:rsidRDefault="00CB059B" w:rsidP="00ED4B06">
      <w:pPr>
        <w:rPr>
          <w:lang w:val="sv-SE"/>
        </w:rPr>
      </w:pPr>
      <w:r w:rsidRPr="00C24B1D">
        <w:t xml:space="preserve">El Bilali, H, Callenius, C, Strassner, C, Probst, L. Food and nutrition security and sustainability transitions in food systems. </w:t>
      </w:r>
      <w:proofErr w:type="spellStart"/>
      <w:r w:rsidRPr="00F439E9">
        <w:rPr>
          <w:lang w:val="sv-SE"/>
        </w:rPr>
        <w:t>Food</w:t>
      </w:r>
      <w:proofErr w:type="spellEnd"/>
      <w:r w:rsidRPr="00F439E9">
        <w:rPr>
          <w:lang w:val="sv-SE"/>
        </w:rPr>
        <w:t xml:space="preserve"> Energy </w:t>
      </w:r>
      <w:proofErr w:type="spellStart"/>
      <w:r w:rsidRPr="00F439E9">
        <w:rPr>
          <w:lang w:val="sv-SE"/>
        </w:rPr>
        <w:t>Secur</w:t>
      </w:r>
      <w:proofErr w:type="spellEnd"/>
      <w:r w:rsidRPr="00F439E9">
        <w:rPr>
          <w:lang w:val="sv-SE"/>
        </w:rPr>
        <w:t xml:space="preserve">. 2019; 8:e00154. </w:t>
      </w:r>
      <w:hyperlink r:id="rId9" w:history="1">
        <w:r w:rsidRPr="00F439E9">
          <w:rPr>
            <w:rStyle w:val="Hyperlnk"/>
            <w:rFonts w:ascii="Calibri" w:hAnsi="Calibri" w:cs="Calibri"/>
            <w:szCs w:val="20"/>
            <w:lang w:val="sv-SE"/>
          </w:rPr>
          <w:t>https://doi.org/10.1002/fes3.154</w:t>
        </w:r>
      </w:hyperlink>
      <w:r w:rsidRPr="00F439E9">
        <w:rPr>
          <w:lang w:val="sv-SE"/>
        </w:rPr>
        <w:t xml:space="preserve"> </w:t>
      </w:r>
    </w:p>
    <w:p w14:paraId="6845EBB8" w14:textId="6C3A5719" w:rsidR="00AF3909" w:rsidRPr="00F439E9" w:rsidRDefault="00AF3909" w:rsidP="00ED4B06">
      <w:pPr>
        <w:rPr>
          <w:lang w:val="sv-SE"/>
        </w:rPr>
      </w:pPr>
      <w:r w:rsidRPr="00F439E9">
        <w:rPr>
          <w:sz w:val="21"/>
          <w:lang w:val="sv-SE"/>
        </w:rPr>
        <w:t> </w:t>
      </w:r>
    </w:p>
    <w:p w14:paraId="5D70EA2D" w14:textId="072A8469" w:rsidR="00AF3909" w:rsidRPr="00F439E9" w:rsidRDefault="00AF3909" w:rsidP="00ED4B06">
      <w:pPr>
        <w:rPr>
          <w:szCs w:val="22"/>
          <w:lang w:val="sv-SE"/>
        </w:rPr>
      </w:pPr>
      <w:r w:rsidRPr="00F439E9">
        <w:rPr>
          <w:szCs w:val="22"/>
          <w:lang w:val="sv-SE"/>
        </w:rPr>
        <w:t>Näringsdepartementet (2017).</w:t>
      </w:r>
      <w:r w:rsidRPr="00F439E9">
        <w:rPr>
          <w:rStyle w:val="apple-converted-space"/>
          <w:rFonts w:ascii="Calibri" w:hAnsi="Calibri" w:cs="Calibri"/>
          <w:szCs w:val="22"/>
          <w:lang w:val="sv-SE"/>
        </w:rPr>
        <w:t> </w:t>
      </w:r>
      <w:r w:rsidRPr="00F439E9">
        <w:rPr>
          <w:i/>
          <w:iCs/>
          <w:szCs w:val="22"/>
          <w:lang w:val="sv-SE"/>
        </w:rPr>
        <w:t>En livsmedelsstrategi för Sverige – fler jobb och hållbar tillväxt i hela landet. Kortversion av regeringens proposition 2016/17:104.</w:t>
      </w:r>
    </w:p>
    <w:p w14:paraId="362C192E" w14:textId="77777777" w:rsidR="00FB7884" w:rsidRPr="00F439E9" w:rsidRDefault="00FB7884" w:rsidP="2A5D9553">
      <w:pPr>
        <w:rPr>
          <w:lang w:val="sv-SE"/>
        </w:rPr>
      </w:pPr>
    </w:p>
    <w:p w14:paraId="4B815637" w14:textId="1ABE8CDE" w:rsidR="00FF11DA" w:rsidRPr="00F439E9" w:rsidRDefault="00FF11DA" w:rsidP="00FC2765">
      <w:pPr>
        <w:pStyle w:val="Rubrik2"/>
        <w:rPr>
          <w:lang w:val="sv-SE"/>
        </w:rPr>
      </w:pPr>
      <w:r w:rsidRPr="00F439E9">
        <w:rPr>
          <w:lang w:val="sv-SE"/>
        </w:rPr>
        <w:t>Inlämning 1</w:t>
      </w:r>
    </w:p>
    <w:p w14:paraId="725036FC" w14:textId="6A1B8C3A" w:rsidR="00FF11DA" w:rsidRPr="00F439E9" w:rsidRDefault="00FF11DA" w:rsidP="00BF685A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MSB, Vägledning för risk-och sårbarhetsanalyser, MSB245, 978-91-7383-129-1, </w:t>
      </w:r>
      <w:hyperlink r:id="rId10" w:history="1">
        <w:r w:rsidRPr="00F439E9">
          <w:rPr>
            <w:rStyle w:val="Hyperlnk"/>
            <w:rFonts w:cstheme="minorHAnsi"/>
            <w:szCs w:val="22"/>
            <w:lang w:val="sv-SE"/>
          </w:rPr>
          <w:t>https://www.msb.se/sv/publikationer/vagledning-for-risk--och-</w:t>
        </w:r>
        <w:proofErr w:type="spellStart"/>
        <w:r w:rsidRPr="00F439E9">
          <w:rPr>
            <w:rStyle w:val="Hyperlnk"/>
            <w:rFonts w:cstheme="minorHAnsi"/>
            <w:szCs w:val="22"/>
            <w:lang w:val="sv-SE"/>
          </w:rPr>
          <w:t>sarbarhetsanalyser</w:t>
        </w:r>
        <w:proofErr w:type="spellEnd"/>
        <w:r w:rsidRPr="00F439E9">
          <w:rPr>
            <w:rStyle w:val="Hyperlnk"/>
            <w:rFonts w:cstheme="minorHAnsi"/>
            <w:szCs w:val="22"/>
            <w:lang w:val="sv-SE"/>
          </w:rPr>
          <w:t>/</w:t>
        </w:r>
      </w:hyperlink>
      <w:r w:rsidRPr="00F439E9">
        <w:rPr>
          <w:szCs w:val="22"/>
          <w:lang w:val="sv-SE"/>
        </w:rPr>
        <w:t xml:space="preserve">  </w:t>
      </w:r>
    </w:p>
    <w:p w14:paraId="43949F27" w14:textId="69764951" w:rsidR="00E07749" w:rsidRPr="00F439E9" w:rsidRDefault="00E07749" w:rsidP="00BF685A">
      <w:pPr>
        <w:rPr>
          <w:rFonts w:eastAsia="Calibri" w:cs="Calibri"/>
          <w:szCs w:val="22"/>
          <w:lang w:val="sv-SE"/>
        </w:rPr>
      </w:pPr>
    </w:p>
    <w:p w14:paraId="2C417CEE" w14:textId="281479FC" w:rsidR="00E07749" w:rsidRPr="00F439E9" w:rsidRDefault="00E07749" w:rsidP="00BF685A">
      <w:pPr>
        <w:rPr>
          <w:rFonts w:cs="Calibri"/>
          <w:szCs w:val="22"/>
          <w:lang w:val="sv-SE"/>
        </w:rPr>
      </w:pPr>
      <w:r w:rsidRPr="00F439E9">
        <w:rPr>
          <w:rFonts w:cs="Calibri"/>
          <w:szCs w:val="22"/>
          <w:lang w:val="sv-SE"/>
        </w:rPr>
        <w:t>FOI, FOI:s modell för risk- och sårbarhetsanalys (FORSA), FOI-R--</w:t>
      </w:r>
      <w:proofErr w:type="gramStart"/>
      <w:r w:rsidRPr="00F439E9">
        <w:rPr>
          <w:rFonts w:cs="Calibri"/>
          <w:szCs w:val="22"/>
          <w:lang w:val="sv-SE"/>
        </w:rPr>
        <w:t>3288—SE</w:t>
      </w:r>
      <w:proofErr w:type="gramEnd"/>
      <w:r w:rsidRPr="00F439E9">
        <w:rPr>
          <w:rFonts w:cs="Calibri"/>
          <w:szCs w:val="22"/>
          <w:lang w:val="sv-SE"/>
        </w:rPr>
        <w:t xml:space="preserve">, 978- 91-7056-128-3, </w:t>
      </w:r>
      <w:hyperlink r:id="rId11">
        <w:r w:rsidR="50B0AE3E" w:rsidRPr="00F439E9">
          <w:rPr>
            <w:rStyle w:val="Hyperlnk"/>
            <w:rFonts w:eastAsia="Calibri" w:cs="Calibri"/>
            <w:szCs w:val="22"/>
            <w:lang w:val="sv-SE"/>
          </w:rPr>
          <w:t xml:space="preserve">FOI:s modell för risk- och sårbarhetsanalys (FORSA)https://www.foi.se › </w:t>
        </w:r>
        <w:proofErr w:type="spellStart"/>
        <w:r w:rsidR="50B0AE3E" w:rsidRPr="00F439E9">
          <w:rPr>
            <w:rStyle w:val="Hyperlnk"/>
            <w:rFonts w:eastAsia="Calibri" w:cs="Calibri"/>
            <w:szCs w:val="22"/>
            <w:lang w:val="sv-SE"/>
          </w:rPr>
          <w:t>report</w:t>
        </w:r>
        <w:proofErr w:type="spellEnd"/>
        <w:r w:rsidR="50B0AE3E" w:rsidRPr="00F439E9">
          <w:rPr>
            <w:rStyle w:val="Hyperlnk"/>
            <w:rFonts w:eastAsia="Calibri" w:cs="Calibri"/>
            <w:szCs w:val="22"/>
            <w:lang w:val="sv-SE"/>
          </w:rPr>
          <w:t xml:space="preserve"> › FOI-R--3288--SE</w:t>
        </w:r>
      </w:hyperlink>
    </w:p>
    <w:p w14:paraId="799A7580" w14:textId="59004707" w:rsidR="00E07749" w:rsidRPr="00F439E9" w:rsidRDefault="50B0AE3E" w:rsidP="00BF685A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 </w:t>
      </w:r>
    </w:p>
    <w:p w14:paraId="205A6C31" w14:textId="5BEEBECE" w:rsidR="00D62467" w:rsidRPr="002940F5" w:rsidRDefault="0086009F" w:rsidP="00BF685A">
      <w:pPr>
        <w:rPr>
          <w:rFonts w:cs="Calibri"/>
          <w:szCs w:val="22"/>
          <w:lang w:val="sv-SE"/>
        </w:rPr>
      </w:pPr>
      <w:r>
        <w:rPr>
          <w:rFonts w:cs="Calibri"/>
          <w:szCs w:val="22"/>
          <w:lang w:val="sv-SE"/>
        </w:rPr>
        <w:t>FOI</w:t>
      </w:r>
      <w:r w:rsidR="00E07749" w:rsidRPr="00F439E9">
        <w:rPr>
          <w:rFonts w:cs="Calibri"/>
          <w:szCs w:val="22"/>
          <w:lang w:val="sv-SE"/>
        </w:rPr>
        <w:t xml:space="preserve">, Handbok </w:t>
      </w:r>
      <w:proofErr w:type="spellStart"/>
      <w:r w:rsidR="00E07749" w:rsidRPr="00F439E9">
        <w:rPr>
          <w:rFonts w:cs="Calibri"/>
          <w:szCs w:val="22"/>
          <w:lang w:val="sv-SE"/>
        </w:rPr>
        <w:t>för</w:t>
      </w:r>
      <w:proofErr w:type="spellEnd"/>
      <w:r w:rsidR="00E07749" w:rsidRPr="00F439E9">
        <w:rPr>
          <w:rFonts w:cs="Calibri"/>
          <w:szCs w:val="22"/>
          <w:lang w:val="sv-SE"/>
        </w:rPr>
        <w:t xml:space="preserve"> kommunalt </w:t>
      </w:r>
      <w:proofErr w:type="spellStart"/>
      <w:r w:rsidR="00E07749" w:rsidRPr="00F439E9">
        <w:rPr>
          <w:rFonts w:cs="Calibri"/>
          <w:szCs w:val="22"/>
          <w:lang w:val="sv-SE"/>
        </w:rPr>
        <w:t>RSA</w:t>
      </w:r>
      <w:proofErr w:type="spellEnd"/>
      <w:r w:rsidR="00E07749" w:rsidRPr="00F439E9">
        <w:rPr>
          <w:rFonts w:cs="Calibri"/>
          <w:szCs w:val="22"/>
          <w:lang w:val="sv-SE"/>
        </w:rPr>
        <w:t xml:space="preserve">-arbete, </w:t>
      </w:r>
      <w:proofErr w:type="spellStart"/>
      <w:r w:rsidR="004F45F6" w:rsidRPr="004F45F6">
        <w:rPr>
          <w:rFonts w:cs="Calibri"/>
          <w:szCs w:val="22"/>
          <w:lang w:val="sv-SE"/>
        </w:rPr>
        <w:t>Västra</w:t>
      </w:r>
      <w:proofErr w:type="spellEnd"/>
      <w:r w:rsidR="004F45F6" w:rsidRPr="004F45F6">
        <w:rPr>
          <w:rFonts w:cs="Calibri"/>
          <w:szCs w:val="22"/>
          <w:lang w:val="sv-SE"/>
        </w:rPr>
        <w:t xml:space="preserve"> </w:t>
      </w:r>
      <w:proofErr w:type="spellStart"/>
      <w:r w:rsidR="004F45F6" w:rsidRPr="004F45F6">
        <w:rPr>
          <w:rFonts w:cs="Calibri"/>
          <w:szCs w:val="22"/>
          <w:lang w:val="sv-SE"/>
        </w:rPr>
        <w:t>Götalands</w:t>
      </w:r>
      <w:proofErr w:type="spellEnd"/>
      <w:r w:rsidR="004F45F6" w:rsidRPr="004F45F6">
        <w:rPr>
          <w:rFonts w:cs="Calibri"/>
          <w:szCs w:val="22"/>
          <w:lang w:val="sv-SE"/>
        </w:rPr>
        <w:t xml:space="preserve"> </w:t>
      </w:r>
      <w:proofErr w:type="spellStart"/>
      <w:r w:rsidR="004F45F6" w:rsidRPr="004F45F6">
        <w:rPr>
          <w:rFonts w:cs="Calibri"/>
          <w:szCs w:val="22"/>
          <w:lang w:val="sv-SE"/>
        </w:rPr>
        <w:t>läns</w:t>
      </w:r>
      <w:proofErr w:type="spellEnd"/>
      <w:r w:rsidR="004F45F6" w:rsidRPr="004F45F6">
        <w:rPr>
          <w:rFonts w:cs="Calibri"/>
          <w:szCs w:val="22"/>
          <w:lang w:val="sv-SE"/>
        </w:rPr>
        <w:t xml:space="preserve"> publikationsserie: Rapport 2018:62</w:t>
      </w:r>
      <w:r w:rsidR="004F45F6">
        <w:rPr>
          <w:rFonts w:cs="Calibri"/>
          <w:szCs w:val="22"/>
          <w:lang w:val="sv-SE"/>
        </w:rPr>
        <w:t xml:space="preserve"> </w:t>
      </w:r>
      <w:hyperlink r:id="rId12" w:anchor=":~:text=Handboken%20är%20framtagen%20av%20Totalförsvarets,%2C%20beredskap%2C%20säkerhet%2C%20nytta" w:history="1">
        <w:r w:rsidRPr="0086009F">
          <w:rPr>
            <w:rStyle w:val="Hyperlnk"/>
            <w:lang w:val="sv-SE"/>
          </w:rPr>
          <w:t>https://www.foi.se/rest-api/report/FOI-R--4656--SE#:~:text=Handboken%20är%20framtagen%20av%20Totalförsvarets,%2C%20beredskap%2C%20säkerhet%2C%20nytta</w:t>
        </w:r>
      </w:hyperlink>
      <w:r w:rsidRPr="0086009F">
        <w:rPr>
          <w:lang w:val="sv-SE"/>
        </w:rPr>
        <w:t xml:space="preserve">. </w:t>
      </w:r>
    </w:p>
    <w:p w14:paraId="06BF6376" w14:textId="325CB930" w:rsidR="5C6BDF0E" w:rsidRPr="00F439E9" w:rsidRDefault="5C6BDF0E" w:rsidP="00BF685A">
      <w:pPr>
        <w:rPr>
          <w:rFonts w:cs="Calibri"/>
          <w:lang w:val="sv-SE"/>
        </w:rPr>
      </w:pPr>
    </w:p>
    <w:p w14:paraId="4C6589C8" w14:textId="0087147E" w:rsidR="002A0352" w:rsidRPr="00F439E9" w:rsidRDefault="002A0352" w:rsidP="00BF685A">
      <w:pPr>
        <w:rPr>
          <w:rFonts w:eastAsiaTheme="majorEastAsia" w:cstheme="majorBidi"/>
          <w:lang w:val="sv-SE"/>
        </w:rPr>
      </w:pPr>
      <w:r w:rsidRPr="00F439E9">
        <w:rPr>
          <w:lang w:val="sv-SE"/>
        </w:rPr>
        <w:lastRenderedPageBreak/>
        <w:t>FOI, In</w:t>
      </w:r>
      <w:r w:rsidRPr="00F439E9">
        <w:rPr>
          <w:rFonts w:eastAsiaTheme="majorEastAsia" w:cstheme="majorBidi"/>
          <w:lang w:val="sv-SE"/>
        </w:rPr>
        <w:t>tegrera klimatanpassning i kommunala risk- och sårbarhetsanalyser – en vägledning, FOI-R--</w:t>
      </w:r>
      <w:proofErr w:type="gramStart"/>
      <w:r w:rsidRPr="00F439E9">
        <w:rPr>
          <w:rFonts w:eastAsiaTheme="majorEastAsia" w:cstheme="majorBidi"/>
          <w:lang w:val="sv-SE"/>
        </w:rPr>
        <w:t>3388—SE</w:t>
      </w:r>
      <w:proofErr w:type="gramEnd"/>
      <w:r w:rsidRPr="00F439E9">
        <w:rPr>
          <w:rFonts w:eastAsiaTheme="majorEastAsia" w:cstheme="majorBidi"/>
          <w:lang w:val="sv-SE"/>
        </w:rPr>
        <w:t>,</w:t>
      </w:r>
      <w:r w:rsidR="2B795787" w:rsidRPr="00F439E9">
        <w:rPr>
          <w:rFonts w:eastAsiaTheme="majorEastAsia" w:cstheme="majorBidi"/>
          <w:lang w:val="sv-SE"/>
        </w:rPr>
        <w:t xml:space="preserve"> </w:t>
      </w:r>
      <w:hyperlink r:id="rId13">
        <w:r w:rsidR="4EC9FF48" w:rsidRPr="00F439E9">
          <w:rPr>
            <w:rStyle w:val="Hyperlnk"/>
            <w:rFonts w:eastAsiaTheme="majorEastAsia" w:cstheme="majorBidi"/>
            <w:szCs w:val="22"/>
            <w:lang w:val="sv-SE"/>
          </w:rPr>
          <w:t xml:space="preserve">Integrera klimatanpassning i kommunala riskhttps://www.foi.se › </w:t>
        </w:r>
        <w:proofErr w:type="spellStart"/>
        <w:r w:rsidR="4EC9FF48" w:rsidRPr="00F439E9">
          <w:rPr>
            <w:rStyle w:val="Hyperlnk"/>
            <w:rFonts w:eastAsiaTheme="majorEastAsia" w:cstheme="majorBidi"/>
            <w:szCs w:val="22"/>
            <w:lang w:val="sv-SE"/>
          </w:rPr>
          <w:t>report</w:t>
        </w:r>
        <w:proofErr w:type="spellEnd"/>
        <w:r w:rsidR="4EC9FF48" w:rsidRPr="00F439E9">
          <w:rPr>
            <w:rStyle w:val="Hyperlnk"/>
            <w:rFonts w:eastAsiaTheme="majorEastAsia" w:cstheme="majorBidi"/>
            <w:szCs w:val="22"/>
            <w:lang w:val="sv-SE"/>
          </w:rPr>
          <w:t xml:space="preserve"> › FOI-R--3388--SE</w:t>
        </w:r>
      </w:hyperlink>
    </w:p>
    <w:p w14:paraId="7395AD08" w14:textId="7A3135A3" w:rsidR="5C6BDF0E" w:rsidRPr="00F439E9" w:rsidRDefault="5C6BDF0E" w:rsidP="00BF685A">
      <w:pPr>
        <w:rPr>
          <w:lang w:val="sv-SE"/>
        </w:rPr>
      </w:pPr>
    </w:p>
    <w:p w14:paraId="5425E1F2" w14:textId="6D3839BB" w:rsidR="008E27F2" w:rsidRPr="0072443C" w:rsidRDefault="00FB7884" w:rsidP="00BF685A">
      <w:pPr>
        <w:rPr>
          <w:lang w:val="sv-SE"/>
        </w:rPr>
      </w:pPr>
      <w:r w:rsidRPr="00F439E9">
        <w:rPr>
          <w:lang w:val="sv-SE"/>
        </w:rPr>
        <w:t xml:space="preserve">ROSA. en metod </w:t>
      </w:r>
      <w:proofErr w:type="spellStart"/>
      <w:r w:rsidRPr="00F439E9">
        <w:rPr>
          <w:lang w:val="sv-SE"/>
        </w:rPr>
        <w:t>för</w:t>
      </w:r>
      <w:proofErr w:type="spellEnd"/>
      <w:r w:rsidRPr="00F439E9">
        <w:rPr>
          <w:lang w:val="sv-SE"/>
        </w:rPr>
        <w:t xml:space="preserve"> risk- och </w:t>
      </w:r>
      <w:proofErr w:type="spellStart"/>
      <w:r w:rsidRPr="00F439E9">
        <w:rPr>
          <w:lang w:val="sv-SE"/>
        </w:rPr>
        <w:t>sårbarhetsanalyser</w:t>
      </w:r>
      <w:proofErr w:type="spellEnd"/>
      <w:r w:rsidRPr="00F439E9">
        <w:rPr>
          <w:lang w:val="sv-SE"/>
        </w:rPr>
        <w:t xml:space="preserve">, </w:t>
      </w:r>
      <w:proofErr w:type="spellStart"/>
      <w:r w:rsidRPr="00F439E9">
        <w:rPr>
          <w:lang w:val="sv-SE"/>
        </w:rPr>
        <w:t>Länsstyrelsen</w:t>
      </w:r>
      <w:proofErr w:type="spellEnd"/>
      <w:r w:rsidRPr="00F439E9">
        <w:rPr>
          <w:lang w:val="sv-SE"/>
        </w:rPr>
        <w:t xml:space="preserve"> i Kronobergs </w:t>
      </w:r>
      <w:proofErr w:type="spellStart"/>
      <w:r w:rsidRPr="00F439E9">
        <w:rPr>
          <w:lang w:val="sv-SE"/>
        </w:rPr>
        <w:t>län</w:t>
      </w:r>
      <w:proofErr w:type="spellEnd"/>
      <w:r w:rsidRPr="00F439E9">
        <w:rPr>
          <w:lang w:val="sv-SE"/>
        </w:rPr>
        <w:t xml:space="preserve"> – 2003-10-27, </w:t>
      </w:r>
      <w:hyperlink r:id="rId14" w:history="1">
        <w:r w:rsidR="0072443C" w:rsidRPr="0072443C">
          <w:rPr>
            <w:rStyle w:val="Hyperlnk"/>
            <w:lang w:val="sv-SE"/>
          </w:rPr>
          <w:t>https://www.msb.se/contentassets/73c39aa9574644f7ab9948319cc17cf8/risk_sarbarhet_kronobergs_lan_2003.pdf</w:t>
        </w:r>
      </w:hyperlink>
      <w:r w:rsidR="0072443C" w:rsidRPr="0072443C">
        <w:rPr>
          <w:lang w:val="sv-SE"/>
        </w:rPr>
        <w:t xml:space="preserve"> </w:t>
      </w:r>
    </w:p>
    <w:p w14:paraId="312FCB32" w14:textId="77777777" w:rsidR="002C2EA7" w:rsidRPr="00F439E9" w:rsidRDefault="002C2EA7" w:rsidP="00BF685A">
      <w:pPr>
        <w:rPr>
          <w:lang w:val="sv-SE"/>
        </w:rPr>
      </w:pPr>
    </w:p>
    <w:p w14:paraId="70482F19" w14:textId="77777777" w:rsidR="00FB7884" w:rsidRPr="00F439E9" w:rsidRDefault="00FB7884" w:rsidP="2538739D">
      <w:pPr>
        <w:rPr>
          <w:szCs w:val="22"/>
          <w:lang w:val="sv-SE"/>
        </w:rPr>
      </w:pPr>
    </w:p>
    <w:p w14:paraId="24D060F9" w14:textId="1D73E187" w:rsidR="00F57597" w:rsidRPr="00F439E9" w:rsidRDefault="71EED7D5" w:rsidP="00FC2765">
      <w:pPr>
        <w:pStyle w:val="Rubrik2"/>
        <w:rPr>
          <w:lang w:val="sv-SE"/>
        </w:rPr>
      </w:pPr>
      <w:r w:rsidRPr="00F439E9">
        <w:rPr>
          <w:lang w:val="sv-SE"/>
        </w:rPr>
        <w:t>S</w:t>
      </w:r>
      <w:r w:rsidR="00FB4EFB" w:rsidRPr="00F439E9">
        <w:rPr>
          <w:lang w:val="sv-SE"/>
        </w:rPr>
        <w:t>em</w:t>
      </w:r>
      <w:r w:rsidRPr="00F439E9">
        <w:rPr>
          <w:lang w:val="sv-SE"/>
        </w:rPr>
        <w:t xml:space="preserve">2: Litteraturseminarium – </w:t>
      </w:r>
      <w:r w:rsidR="00FB6473" w:rsidRPr="00F439E9">
        <w:rPr>
          <w:lang w:val="sv-SE"/>
        </w:rPr>
        <w:t>Sårbarheter i olika kontexter</w:t>
      </w:r>
    </w:p>
    <w:p w14:paraId="5BC84631" w14:textId="36977642" w:rsidR="00C84577" w:rsidRPr="0072443C" w:rsidRDefault="00C84577" w:rsidP="003322CE">
      <w:pPr>
        <w:rPr>
          <w:b/>
          <w:bCs/>
          <w:i/>
          <w:iCs/>
          <w:lang w:val="sv-SE"/>
        </w:rPr>
      </w:pPr>
      <w:r w:rsidRPr="0072443C">
        <w:rPr>
          <w:b/>
          <w:bCs/>
          <w:i/>
          <w:iCs/>
          <w:lang w:val="sv-SE"/>
        </w:rPr>
        <w:t>(</w:t>
      </w:r>
      <w:r w:rsidR="00C055E0" w:rsidRPr="0072443C">
        <w:rPr>
          <w:b/>
          <w:bCs/>
          <w:i/>
          <w:iCs/>
          <w:lang w:val="sv-SE"/>
        </w:rPr>
        <w:t>personlig</w:t>
      </w:r>
      <w:r w:rsidRPr="0072443C">
        <w:rPr>
          <w:b/>
          <w:bCs/>
          <w:i/>
          <w:iCs/>
          <w:lang w:val="sv-SE"/>
        </w:rPr>
        <w:t xml:space="preserve"> läsanvisning </w:t>
      </w:r>
      <w:r w:rsidR="00D03D32">
        <w:rPr>
          <w:b/>
          <w:bCs/>
          <w:i/>
          <w:iCs/>
          <w:lang w:val="sv-SE"/>
        </w:rPr>
        <w:t xml:space="preserve">kommer </w:t>
      </w:r>
      <w:r w:rsidRPr="0072443C">
        <w:rPr>
          <w:b/>
          <w:bCs/>
          <w:i/>
          <w:iCs/>
          <w:lang w:val="sv-SE"/>
        </w:rPr>
        <w:t xml:space="preserve">på </w:t>
      </w:r>
      <w:proofErr w:type="spellStart"/>
      <w:r w:rsidRPr="0072443C">
        <w:rPr>
          <w:b/>
          <w:bCs/>
          <w:i/>
          <w:iCs/>
          <w:lang w:val="sv-SE"/>
        </w:rPr>
        <w:t>Lisam</w:t>
      </w:r>
      <w:proofErr w:type="spellEnd"/>
      <w:r w:rsidRPr="0072443C">
        <w:rPr>
          <w:b/>
          <w:bCs/>
          <w:i/>
          <w:iCs/>
          <w:lang w:val="sv-SE"/>
        </w:rPr>
        <w:t>)</w:t>
      </w:r>
    </w:p>
    <w:p w14:paraId="3B10E91C" w14:textId="77777777" w:rsidR="003322CE" w:rsidRPr="00F439E9" w:rsidRDefault="003322CE" w:rsidP="003322CE">
      <w:pPr>
        <w:rPr>
          <w:i/>
          <w:iCs/>
          <w:lang w:val="sv-SE"/>
        </w:rPr>
      </w:pPr>
    </w:p>
    <w:p w14:paraId="572DF83F" w14:textId="5DAEAB26" w:rsidR="00F57597" w:rsidRPr="00C24B1D" w:rsidRDefault="71EED7D5" w:rsidP="003322CE">
      <w:pPr>
        <w:rPr>
          <w:rFonts w:cs="Calibri"/>
          <w:szCs w:val="22"/>
        </w:rPr>
      </w:pPr>
      <w:proofErr w:type="spellStart"/>
      <w:r w:rsidRPr="0016067E">
        <w:rPr>
          <w:rFonts w:cs="Calibri"/>
          <w:szCs w:val="22"/>
          <w:lang w:val="sv-SE"/>
        </w:rPr>
        <w:t>Beebeejaun</w:t>
      </w:r>
      <w:proofErr w:type="spellEnd"/>
      <w:r w:rsidRPr="0016067E">
        <w:rPr>
          <w:rFonts w:cs="Calibri"/>
          <w:szCs w:val="22"/>
          <w:lang w:val="sv-SE"/>
        </w:rPr>
        <w:t xml:space="preserve">, Y. (2017). </w:t>
      </w:r>
      <w:r w:rsidRPr="00C24B1D">
        <w:rPr>
          <w:rFonts w:cs="Calibri"/>
          <w:szCs w:val="22"/>
        </w:rPr>
        <w:t>“Gender, urban space, and the right to everyday</w:t>
      </w:r>
    </w:p>
    <w:p w14:paraId="3B773A2A" w14:textId="77777777" w:rsidR="00F57597" w:rsidRPr="001D47AA" w:rsidRDefault="71EED7D5" w:rsidP="003322CE">
      <w:pPr>
        <w:rPr>
          <w:rFonts w:cs="Calibri"/>
          <w:szCs w:val="22"/>
        </w:rPr>
      </w:pPr>
      <w:r w:rsidRPr="001D47AA">
        <w:rPr>
          <w:rFonts w:cs="Calibri"/>
          <w:szCs w:val="22"/>
        </w:rPr>
        <w:t>Life”, Journal of Urban Affairs, 39:3, 323-334, DOI: 10.1080/07352166.2016.1255526</w:t>
      </w:r>
    </w:p>
    <w:p w14:paraId="42776AB1" w14:textId="77777777" w:rsidR="00F57597" w:rsidRPr="001D47AA" w:rsidRDefault="00F57597" w:rsidP="003322CE">
      <w:pPr>
        <w:rPr>
          <w:rFonts w:eastAsia="Times New Roman" w:cs="Calibri"/>
          <w:color w:val="222222"/>
          <w:szCs w:val="22"/>
        </w:rPr>
      </w:pPr>
    </w:p>
    <w:p w14:paraId="109C72BC" w14:textId="77777777" w:rsidR="00F57597" w:rsidRPr="00C24B1D" w:rsidRDefault="71EED7D5" w:rsidP="003322CE">
      <w:pPr>
        <w:rPr>
          <w:rFonts w:eastAsia="Times New Roman" w:cs="Calibri"/>
          <w:szCs w:val="22"/>
        </w:rPr>
      </w:pPr>
      <w:r w:rsidRPr="00C24B1D">
        <w:rPr>
          <w:rFonts w:eastAsia="Times New Roman" w:cs="Calibri"/>
          <w:color w:val="222222"/>
          <w:szCs w:val="22"/>
        </w:rPr>
        <w:t>Chaudhuri, S. (2017). "Some Dimensions of Vulnerability: A Study of the Urban Poor in Kolkata." Indian Journal of Human Development 11.1: 109-123.</w:t>
      </w:r>
    </w:p>
    <w:p w14:paraId="5ECB747B" w14:textId="77777777" w:rsidR="00F57597" w:rsidRPr="00C24B1D" w:rsidRDefault="00F57597" w:rsidP="003322CE">
      <w:pPr>
        <w:rPr>
          <w:rFonts w:cs="Calibri"/>
          <w:szCs w:val="22"/>
        </w:rPr>
      </w:pPr>
    </w:p>
    <w:p w14:paraId="1DBC8731" w14:textId="77777777" w:rsidR="00F57597" w:rsidRPr="00C24B1D" w:rsidRDefault="71EED7D5" w:rsidP="003322CE">
      <w:pPr>
        <w:rPr>
          <w:rFonts w:eastAsia="Times New Roman" w:cs="Calibri"/>
          <w:szCs w:val="22"/>
        </w:rPr>
      </w:pPr>
      <w:r w:rsidRPr="00C24B1D">
        <w:rPr>
          <w:rFonts w:eastAsia="Times New Roman" w:cs="Calibri"/>
          <w:color w:val="222222"/>
          <w:szCs w:val="22"/>
        </w:rPr>
        <w:t xml:space="preserve">Ho, Hung Chak, et al. </w:t>
      </w:r>
      <w:r w:rsidRPr="00C01C9C">
        <w:rPr>
          <w:rFonts w:eastAsia="Times New Roman" w:cs="Calibri"/>
          <w:color w:val="222222"/>
          <w:szCs w:val="22"/>
        </w:rPr>
        <w:t xml:space="preserve">(2018). </w:t>
      </w:r>
      <w:r w:rsidRPr="00C24B1D">
        <w:rPr>
          <w:rFonts w:eastAsia="Times New Roman" w:cs="Calibri"/>
          <w:color w:val="222222"/>
          <w:szCs w:val="22"/>
        </w:rPr>
        <w:t>"Influences of socioeconomic vulnerability and intra-urban air pollution exposure on short-term mortality during extreme dust events." Environmental Pollution 235 155-162.</w:t>
      </w:r>
    </w:p>
    <w:p w14:paraId="05D94436" w14:textId="77777777" w:rsidR="00F57597" w:rsidRPr="00C24B1D" w:rsidRDefault="00F57597" w:rsidP="003322CE">
      <w:pPr>
        <w:rPr>
          <w:rFonts w:cs="Calibri"/>
          <w:szCs w:val="22"/>
        </w:rPr>
      </w:pPr>
    </w:p>
    <w:p w14:paraId="70EE0ADD" w14:textId="77777777" w:rsidR="00F57597" w:rsidRPr="00C24B1D" w:rsidRDefault="71EED7D5" w:rsidP="003322CE">
      <w:pPr>
        <w:rPr>
          <w:rFonts w:cs="Calibri"/>
          <w:color w:val="222222"/>
          <w:szCs w:val="22"/>
        </w:rPr>
      </w:pPr>
      <w:r w:rsidRPr="00C24B1D">
        <w:rPr>
          <w:rFonts w:cs="Calibri"/>
          <w:color w:val="222222"/>
          <w:szCs w:val="22"/>
        </w:rPr>
        <w:t xml:space="preserve">Otu, S.E., and A. </w:t>
      </w:r>
      <w:proofErr w:type="spellStart"/>
      <w:r w:rsidRPr="00C24B1D">
        <w:rPr>
          <w:rFonts w:cs="Calibri"/>
          <w:color w:val="222222"/>
          <w:szCs w:val="22"/>
        </w:rPr>
        <w:t>Agugua</w:t>
      </w:r>
      <w:proofErr w:type="spellEnd"/>
      <w:r w:rsidRPr="00C24B1D">
        <w:rPr>
          <w:rFonts w:cs="Calibri"/>
          <w:color w:val="222222"/>
          <w:szCs w:val="22"/>
        </w:rPr>
        <w:t xml:space="preserve"> (2020). “A</w:t>
      </w:r>
      <w:r w:rsidRPr="00C24B1D">
        <w:rPr>
          <w:rFonts w:cs="ITC Galliard Std"/>
          <w:szCs w:val="22"/>
        </w:rPr>
        <w:t xml:space="preserve">n analysis of transit safety among college students in Lagos, Nigeria” 194-214 </w:t>
      </w:r>
      <w:r w:rsidRPr="00C24B1D">
        <w:rPr>
          <w:rFonts w:eastAsia="Times New Roman" w:cs="Calibri"/>
          <w:color w:val="222222"/>
          <w:szCs w:val="22"/>
        </w:rPr>
        <w:t xml:space="preserve">in </w:t>
      </w:r>
      <w:r w:rsidRPr="00C24B1D">
        <w:rPr>
          <w:rFonts w:cs="Calibri"/>
          <w:color w:val="222222"/>
          <w:szCs w:val="22"/>
        </w:rPr>
        <w:t>Ceccato, Vania, and Mahesh K. Nalla. (eds.) Crime and Fear in Public Places: Towards Safe, Inclusive and Sustainable Cities. Taylor &amp; Francis.</w:t>
      </w:r>
    </w:p>
    <w:p w14:paraId="458F2D14" w14:textId="77777777" w:rsidR="00F57597" w:rsidRPr="00C24B1D" w:rsidRDefault="00F57597" w:rsidP="003322CE">
      <w:pPr>
        <w:rPr>
          <w:rFonts w:eastAsia="Times New Roman" w:cs="Calibri"/>
          <w:color w:val="222222"/>
          <w:szCs w:val="22"/>
        </w:rPr>
      </w:pPr>
    </w:p>
    <w:p w14:paraId="2FD5DE16" w14:textId="03FBD104" w:rsidR="00F57597" w:rsidRPr="00C24B1D" w:rsidRDefault="71EED7D5" w:rsidP="003322CE">
      <w:pPr>
        <w:rPr>
          <w:rFonts w:eastAsia="Times New Roman" w:cs="Calibri"/>
          <w:color w:val="222222"/>
          <w:szCs w:val="22"/>
        </w:rPr>
      </w:pPr>
      <w:r w:rsidRPr="00C24B1D">
        <w:rPr>
          <w:rFonts w:eastAsia="Times New Roman" w:cs="Calibri"/>
          <w:color w:val="222222"/>
          <w:szCs w:val="22"/>
        </w:rPr>
        <w:t>Rosenthal, Joyce Klein, Patrick L. Kinney, and Kristina B. Metzger. 82014). "Intra-urban vulnerability to heat-related mortality in New York City, 1997–2006." Health &amp; Place 30: 45-60.</w:t>
      </w:r>
    </w:p>
    <w:p w14:paraId="2789DD59" w14:textId="77777777" w:rsidR="003322CE" w:rsidRPr="00C24B1D" w:rsidRDefault="003322CE" w:rsidP="003322CE">
      <w:pPr>
        <w:rPr>
          <w:rFonts w:eastAsia="Times New Roman" w:cs="Calibri"/>
          <w:szCs w:val="22"/>
        </w:rPr>
      </w:pPr>
    </w:p>
    <w:p w14:paraId="1F41B216" w14:textId="39B6ADD1" w:rsidR="00F57597" w:rsidRPr="00F439E9" w:rsidRDefault="71EED7D5" w:rsidP="003322CE">
      <w:pPr>
        <w:rPr>
          <w:rFonts w:cstheme="minorBidi"/>
          <w:color w:val="222222"/>
          <w:szCs w:val="22"/>
          <w:lang w:val="sv-SE"/>
        </w:rPr>
      </w:pPr>
      <w:r w:rsidRPr="00C24B1D">
        <w:rPr>
          <w:rFonts w:eastAsia="Times New Roman" w:cstheme="minorBidi"/>
          <w:color w:val="222222"/>
          <w:szCs w:val="22"/>
        </w:rPr>
        <w:t xml:space="preserve">Stjernborg, V., and R. </w:t>
      </w:r>
      <w:proofErr w:type="spellStart"/>
      <w:r w:rsidRPr="00C24B1D">
        <w:rPr>
          <w:rFonts w:eastAsia="Times New Roman" w:cstheme="minorBidi"/>
          <w:color w:val="222222"/>
          <w:szCs w:val="22"/>
        </w:rPr>
        <w:t>Bamzar</w:t>
      </w:r>
      <w:proofErr w:type="spellEnd"/>
      <w:r w:rsidRPr="00C24B1D">
        <w:rPr>
          <w:rFonts w:eastAsia="Times New Roman" w:cstheme="minorBidi"/>
          <w:color w:val="222222"/>
          <w:szCs w:val="22"/>
        </w:rPr>
        <w:t xml:space="preserve">. (2020). "Does context matter? Older adults’ safety perceptions of neighborhood environments in Sweden." </w:t>
      </w:r>
      <w:r w:rsidRPr="00C01C9C">
        <w:rPr>
          <w:rFonts w:eastAsia="Times New Roman" w:cstheme="minorBidi"/>
          <w:color w:val="222222"/>
          <w:szCs w:val="22"/>
        </w:rPr>
        <w:t xml:space="preserve">250-264.  </w:t>
      </w:r>
      <w:r w:rsidRPr="00C24B1D">
        <w:rPr>
          <w:rFonts w:eastAsia="Times New Roman" w:cstheme="minorBidi"/>
          <w:color w:val="222222"/>
          <w:szCs w:val="22"/>
        </w:rPr>
        <w:t xml:space="preserve">in </w:t>
      </w:r>
      <w:r w:rsidRPr="00C24B1D">
        <w:rPr>
          <w:rFonts w:cstheme="minorBidi"/>
          <w:color w:val="222222"/>
          <w:szCs w:val="22"/>
        </w:rPr>
        <w:t xml:space="preserve">Ceccato, Vania, and Mahesh K. Nalla. (eds.) Crime and Fear in Public Places: Towards Safe, Inclusive and Sustainable Cities. </w:t>
      </w:r>
      <w:r w:rsidRPr="00F439E9">
        <w:rPr>
          <w:rFonts w:cstheme="minorBidi"/>
          <w:color w:val="222222"/>
          <w:szCs w:val="22"/>
          <w:lang w:val="sv-SE"/>
        </w:rPr>
        <w:t>Taylor &amp; Francis.</w:t>
      </w:r>
    </w:p>
    <w:p w14:paraId="13D069D0" w14:textId="77777777" w:rsidR="00F57597" w:rsidRPr="00F439E9" w:rsidRDefault="00F57597" w:rsidP="003322CE">
      <w:pPr>
        <w:rPr>
          <w:rFonts w:cs="Calibri"/>
          <w:color w:val="222222"/>
          <w:szCs w:val="22"/>
          <w:lang w:val="sv-SE"/>
        </w:rPr>
      </w:pPr>
    </w:p>
    <w:p w14:paraId="4A6624AF" w14:textId="408A8A64" w:rsidR="00B6438A" w:rsidRPr="00F439E9" w:rsidRDefault="71EED7D5" w:rsidP="00B6438A">
      <w:pPr>
        <w:rPr>
          <w:szCs w:val="22"/>
          <w:lang w:val="sv-SE"/>
        </w:rPr>
      </w:pPr>
      <w:r w:rsidRPr="00C24B1D">
        <w:rPr>
          <w:rFonts w:eastAsia="Times New Roman" w:cs="Calibri"/>
          <w:color w:val="222222"/>
          <w:szCs w:val="22"/>
        </w:rPr>
        <w:t>Vearey, Joanna, et al. (2010). "Urban health in Johannesburg: the importance of place in understanding intra-urban inequalities in a context of migration and HIV." </w:t>
      </w:r>
      <w:r w:rsidRPr="00F439E9">
        <w:rPr>
          <w:rFonts w:eastAsia="Times New Roman" w:cs="Calibri"/>
          <w:color w:val="222222"/>
          <w:szCs w:val="22"/>
          <w:lang w:val="sv-SE"/>
        </w:rPr>
        <w:t xml:space="preserve">Health &amp; Place 16.4: </w:t>
      </w:r>
      <w:proofErr w:type="gramStart"/>
      <w:r w:rsidRPr="00F439E9">
        <w:rPr>
          <w:rFonts w:eastAsia="Times New Roman" w:cs="Calibri"/>
          <w:color w:val="222222"/>
          <w:szCs w:val="22"/>
          <w:lang w:val="sv-SE"/>
        </w:rPr>
        <w:t>694-702</w:t>
      </w:r>
      <w:proofErr w:type="gramEnd"/>
      <w:r w:rsidRPr="00F439E9">
        <w:rPr>
          <w:rFonts w:eastAsia="Times New Roman" w:cs="Calibri"/>
          <w:color w:val="222222"/>
          <w:szCs w:val="22"/>
          <w:lang w:val="sv-SE"/>
        </w:rPr>
        <w:t>.</w:t>
      </w:r>
    </w:p>
    <w:p w14:paraId="1C4B0C09" w14:textId="708F8CB4" w:rsidR="006D46E3" w:rsidRPr="00F439E9" w:rsidRDefault="006D46E3" w:rsidP="00FC2765">
      <w:pPr>
        <w:pStyle w:val="Rubrik2"/>
        <w:rPr>
          <w:lang w:val="sv-SE"/>
        </w:rPr>
      </w:pPr>
      <w:r w:rsidRPr="00F439E9">
        <w:rPr>
          <w:lang w:val="sv-SE"/>
        </w:rPr>
        <w:lastRenderedPageBreak/>
        <w:t>L</w:t>
      </w:r>
      <w:r w:rsidR="00614ECA" w:rsidRPr="00F439E9">
        <w:rPr>
          <w:lang w:val="sv-SE"/>
        </w:rPr>
        <w:t>ab</w:t>
      </w:r>
      <w:r w:rsidR="00FB4EFB" w:rsidRPr="00F439E9">
        <w:rPr>
          <w:lang w:val="sv-SE"/>
        </w:rPr>
        <w:t>1</w:t>
      </w:r>
      <w:r w:rsidR="00C84577" w:rsidRPr="00F439E9">
        <w:rPr>
          <w:lang w:val="sv-SE"/>
        </w:rPr>
        <w:t>-</w:t>
      </w:r>
      <w:r w:rsidRPr="00F439E9">
        <w:rPr>
          <w:lang w:val="sv-SE"/>
        </w:rPr>
        <w:t>a: Sårbarhetsbedömning i lärarsituationen - Google Earth (Lärarstudenter)</w:t>
      </w:r>
    </w:p>
    <w:p w14:paraId="06197496" w14:textId="77777777" w:rsidR="006D46E3" w:rsidRPr="00F439E9" w:rsidRDefault="006D46E3" w:rsidP="006D46E3">
      <w:pPr>
        <w:rPr>
          <w:szCs w:val="20"/>
          <w:lang w:val="sv-SE"/>
        </w:rPr>
      </w:pPr>
      <w:r w:rsidRPr="00C24B1D">
        <w:rPr>
          <w:szCs w:val="20"/>
        </w:rPr>
        <w:t xml:space="preserve">Todd C. Patterson (2007) Google Earth as a (Not Just) Geography Education Tool, Journal of Geography, 106:4, 145-152, DOI: 10.1080/00221340701678032. </w:t>
      </w:r>
      <w:hyperlink r:id="rId15" w:history="1">
        <w:r w:rsidRPr="00F439E9">
          <w:rPr>
            <w:rStyle w:val="Hyperlnk"/>
            <w:szCs w:val="20"/>
            <w:lang w:val="sv-SE"/>
          </w:rPr>
          <w:t>https://doi.org/10.1080/00221340701678032</w:t>
        </w:r>
      </w:hyperlink>
      <w:r w:rsidRPr="00F439E9">
        <w:rPr>
          <w:szCs w:val="20"/>
          <w:lang w:val="sv-SE"/>
        </w:rPr>
        <w:t xml:space="preserve"> </w:t>
      </w:r>
    </w:p>
    <w:p w14:paraId="199A64A1" w14:textId="77777777" w:rsidR="006D46E3" w:rsidRPr="00F439E9" w:rsidRDefault="006D46E3" w:rsidP="006D46E3">
      <w:pPr>
        <w:rPr>
          <w:lang w:val="sv-SE"/>
        </w:rPr>
      </w:pPr>
    </w:p>
    <w:p w14:paraId="53132890" w14:textId="368A3E94" w:rsidR="006D46E3" w:rsidRPr="00F439E9" w:rsidRDefault="006D46E3" w:rsidP="00FC2765">
      <w:pPr>
        <w:pStyle w:val="Rubrik2"/>
        <w:rPr>
          <w:lang w:val="sv-SE"/>
        </w:rPr>
      </w:pPr>
      <w:r w:rsidRPr="00F439E9">
        <w:rPr>
          <w:lang w:val="sv-SE"/>
        </w:rPr>
        <w:t>L</w:t>
      </w:r>
      <w:r w:rsidR="00614ECA" w:rsidRPr="00F439E9">
        <w:rPr>
          <w:lang w:val="sv-SE"/>
        </w:rPr>
        <w:t>ab</w:t>
      </w:r>
      <w:r w:rsidR="00FB4EFB" w:rsidRPr="00F439E9">
        <w:rPr>
          <w:lang w:val="sv-SE"/>
        </w:rPr>
        <w:t>1</w:t>
      </w:r>
      <w:r w:rsidR="00C84577" w:rsidRPr="00F439E9">
        <w:rPr>
          <w:lang w:val="sv-SE"/>
        </w:rPr>
        <w:t>-</w:t>
      </w:r>
      <w:r w:rsidRPr="00F439E9">
        <w:rPr>
          <w:lang w:val="sv-SE"/>
        </w:rPr>
        <w:t xml:space="preserve">b: Sårbarhetsbedömning i </w:t>
      </w:r>
      <w:proofErr w:type="spellStart"/>
      <w:r w:rsidRPr="00F439E9">
        <w:rPr>
          <w:lang w:val="sv-SE"/>
        </w:rPr>
        <w:t>ArcGIS</w:t>
      </w:r>
      <w:proofErr w:type="spellEnd"/>
      <w:r w:rsidRPr="00F439E9">
        <w:rPr>
          <w:lang w:val="sv-SE"/>
        </w:rPr>
        <w:t xml:space="preserve"> (Samhällsplanerarstudenter)</w:t>
      </w:r>
    </w:p>
    <w:p w14:paraId="174F8911" w14:textId="08E64D56" w:rsidR="00C055E0" w:rsidRPr="00F439E9" w:rsidRDefault="006D46E3" w:rsidP="00084ADA">
      <w:pPr>
        <w:rPr>
          <w:szCs w:val="20"/>
          <w:lang w:val="sv-SE"/>
        </w:rPr>
      </w:pPr>
      <w:r w:rsidRPr="00C01C9C">
        <w:rPr>
          <w:szCs w:val="22"/>
        </w:rPr>
        <w:t xml:space="preserve">Preston, B., et al (2011). </w:t>
      </w:r>
      <w:r w:rsidRPr="00C24B1D">
        <w:rPr>
          <w:szCs w:val="22"/>
        </w:rPr>
        <w:t xml:space="preserve">Putting vulnerability to climate change on the map: a review of approaches, benefits, and risks. </w:t>
      </w:r>
      <w:proofErr w:type="spellStart"/>
      <w:r w:rsidRPr="00F439E9">
        <w:rPr>
          <w:szCs w:val="22"/>
          <w:lang w:val="sv-SE"/>
        </w:rPr>
        <w:t>Integrated</w:t>
      </w:r>
      <w:proofErr w:type="spellEnd"/>
      <w:r w:rsidRPr="00F439E9">
        <w:rPr>
          <w:szCs w:val="22"/>
          <w:lang w:val="sv-SE"/>
        </w:rPr>
        <w:t xml:space="preserve"> Research for </w:t>
      </w:r>
      <w:proofErr w:type="spellStart"/>
      <w:r w:rsidRPr="00F439E9">
        <w:rPr>
          <w:szCs w:val="22"/>
          <w:lang w:val="sv-SE"/>
        </w:rPr>
        <w:t>Sustainability</w:t>
      </w:r>
      <w:proofErr w:type="spellEnd"/>
      <w:r w:rsidRPr="00F439E9">
        <w:rPr>
          <w:szCs w:val="22"/>
          <w:lang w:val="sv-SE"/>
        </w:rPr>
        <w:t xml:space="preserve"> Science 8: </w:t>
      </w:r>
      <w:proofErr w:type="spellStart"/>
      <w:r w:rsidRPr="00F439E9">
        <w:rPr>
          <w:szCs w:val="22"/>
          <w:lang w:val="sv-SE"/>
        </w:rPr>
        <w:t>pp</w:t>
      </w:r>
      <w:proofErr w:type="spellEnd"/>
      <w:r w:rsidRPr="00F439E9">
        <w:rPr>
          <w:szCs w:val="22"/>
          <w:lang w:val="sv-SE"/>
        </w:rPr>
        <w:t xml:space="preserve">. </w:t>
      </w:r>
      <w:proofErr w:type="gramStart"/>
      <w:r w:rsidRPr="00F439E9">
        <w:rPr>
          <w:szCs w:val="22"/>
          <w:lang w:val="sv-SE"/>
        </w:rPr>
        <w:t>177-202</w:t>
      </w:r>
      <w:proofErr w:type="gramEnd"/>
      <w:r w:rsidRPr="00F439E9">
        <w:rPr>
          <w:szCs w:val="22"/>
          <w:lang w:val="sv-SE"/>
        </w:rPr>
        <w:t xml:space="preserve">.  </w:t>
      </w:r>
    </w:p>
    <w:p w14:paraId="14F48FCF" w14:textId="4F8045C3" w:rsidR="00B6438A" w:rsidRPr="00F439E9" w:rsidRDefault="00FB4EFB" w:rsidP="00FC2765">
      <w:pPr>
        <w:pStyle w:val="Rubrik2"/>
        <w:rPr>
          <w:lang w:val="sv-SE"/>
        </w:rPr>
      </w:pPr>
      <w:r w:rsidRPr="00F439E9">
        <w:rPr>
          <w:lang w:val="sv-SE"/>
        </w:rPr>
        <w:t>Lab2</w:t>
      </w:r>
      <w:r w:rsidR="00C84577" w:rsidRPr="00F439E9">
        <w:rPr>
          <w:lang w:val="sv-SE"/>
        </w:rPr>
        <w:t>-</w:t>
      </w:r>
      <w:r w:rsidR="00B6438A" w:rsidRPr="00F439E9">
        <w:rPr>
          <w:lang w:val="sv-SE"/>
        </w:rPr>
        <w:t>a: Klimatanpassningsspelet – ett spel för gymnasieelever (Lärarstudenter)</w:t>
      </w:r>
    </w:p>
    <w:p w14:paraId="48C20A02" w14:textId="7BA28D9E" w:rsidR="00F67AE9" w:rsidRPr="00F439E9" w:rsidRDefault="001072EE" w:rsidP="00F67AE9">
      <w:pPr>
        <w:rPr>
          <w:i/>
          <w:iCs/>
          <w:szCs w:val="22"/>
          <w:lang w:val="sv-SE"/>
        </w:rPr>
      </w:pPr>
      <w:r w:rsidRPr="00C24B1D">
        <w:rPr>
          <w:szCs w:val="22"/>
        </w:rPr>
        <w:t xml:space="preserve">Neset, T.-S.; Andersson, L.; </w:t>
      </w:r>
      <w:proofErr w:type="spellStart"/>
      <w:r w:rsidRPr="00C24B1D">
        <w:rPr>
          <w:szCs w:val="22"/>
        </w:rPr>
        <w:t>Uhrqvist</w:t>
      </w:r>
      <w:proofErr w:type="spellEnd"/>
      <w:r w:rsidRPr="00C24B1D">
        <w:rPr>
          <w:szCs w:val="22"/>
        </w:rPr>
        <w:t xml:space="preserve">, O.; Navarra, C. Serious Gaming for Climate Adaptation—Assessing the Potential and Challenges of a Digital Serious Game for Urban Climate Adaptation. </w:t>
      </w:r>
      <w:proofErr w:type="spellStart"/>
      <w:r w:rsidRPr="00F439E9">
        <w:rPr>
          <w:szCs w:val="22"/>
          <w:lang w:val="sv-SE"/>
        </w:rPr>
        <w:t>Sustainability</w:t>
      </w:r>
      <w:proofErr w:type="spellEnd"/>
      <w:r w:rsidRPr="00F439E9">
        <w:rPr>
          <w:szCs w:val="22"/>
          <w:lang w:val="sv-SE"/>
        </w:rPr>
        <w:t xml:space="preserve"> 2020, 12, 1789.</w:t>
      </w:r>
    </w:p>
    <w:p w14:paraId="207D66A7" w14:textId="32F9DC6E" w:rsidR="00F67AE9" w:rsidRPr="00C24B1D" w:rsidRDefault="00FB4EFB" w:rsidP="006136D7">
      <w:pPr>
        <w:pStyle w:val="Rubrik2"/>
        <w:rPr>
          <w:lang w:val="sv-SE"/>
        </w:rPr>
      </w:pPr>
      <w:r w:rsidRPr="00C24B1D">
        <w:rPr>
          <w:lang w:val="sv-SE"/>
        </w:rPr>
        <w:t>Lab2</w:t>
      </w:r>
      <w:r w:rsidR="00C84577" w:rsidRPr="00C24B1D">
        <w:rPr>
          <w:lang w:val="sv-SE"/>
        </w:rPr>
        <w:t>-</w:t>
      </w:r>
      <w:r w:rsidR="00F67AE9" w:rsidRPr="00C24B1D">
        <w:rPr>
          <w:lang w:val="sv-SE"/>
        </w:rPr>
        <w:t xml:space="preserve">b: </w:t>
      </w:r>
      <w:r w:rsidR="007F7645" w:rsidRPr="00C24B1D">
        <w:rPr>
          <w:lang w:val="sv-SE"/>
        </w:rPr>
        <w:t xml:space="preserve">Klimatrisker </w:t>
      </w:r>
      <w:r w:rsidR="00C70A26" w:rsidRPr="00C24B1D">
        <w:rPr>
          <w:lang w:val="sv-SE"/>
        </w:rPr>
        <w:t>och</w:t>
      </w:r>
      <w:r w:rsidR="007F7645" w:rsidRPr="00C24B1D">
        <w:rPr>
          <w:lang w:val="sv-SE"/>
        </w:rPr>
        <w:t xml:space="preserve"> samhällsplanering </w:t>
      </w:r>
      <w:r w:rsidR="00F67AE9" w:rsidRPr="00C24B1D">
        <w:rPr>
          <w:lang w:val="sv-SE"/>
        </w:rPr>
        <w:t>(Samhällsplanerarstudenter)</w:t>
      </w:r>
    </w:p>
    <w:p w14:paraId="705FB8FF" w14:textId="26038E97" w:rsidR="00550863" w:rsidRPr="006136D7" w:rsidRDefault="00550863" w:rsidP="00FB3491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Klimatrelaterade risker i </w:t>
      </w:r>
      <w:r w:rsidR="00C24B1D" w:rsidRPr="00F439E9">
        <w:rPr>
          <w:szCs w:val="22"/>
          <w:lang w:val="sv-SE"/>
        </w:rPr>
        <w:t>översiktsplanering</w:t>
      </w:r>
      <w:r w:rsidRPr="00F439E9">
        <w:rPr>
          <w:szCs w:val="22"/>
          <w:lang w:val="sv-SE"/>
        </w:rPr>
        <w:t xml:space="preserve">, Metodstöd. </w:t>
      </w:r>
      <w:hyperlink r:id="rId16" w:history="1">
        <w:r w:rsidR="008562B5" w:rsidRPr="00F439E9">
          <w:rPr>
            <w:rStyle w:val="Hyperlnk"/>
            <w:szCs w:val="22"/>
            <w:lang w:val="sv-SE"/>
          </w:rPr>
          <w:t>https://catalog.lansstyrelsen.se/store/39/resource/DA_2021_3_2</w:t>
        </w:r>
      </w:hyperlink>
      <w:r w:rsidR="008562B5" w:rsidRPr="00F439E9">
        <w:rPr>
          <w:szCs w:val="22"/>
          <w:lang w:val="sv-SE"/>
        </w:rPr>
        <w:t xml:space="preserve"> </w:t>
      </w:r>
    </w:p>
    <w:p w14:paraId="7B95169E" w14:textId="5D1252D1" w:rsidR="00FB3491" w:rsidRPr="00F439E9" w:rsidRDefault="00FB3491" w:rsidP="00FC2765">
      <w:pPr>
        <w:pStyle w:val="Rubrik2"/>
        <w:rPr>
          <w:lang w:val="sv-SE"/>
        </w:rPr>
      </w:pPr>
      <w:r w:rsidRPr="00F439E9">
        <w:rPr>
          <w:lang w:val="sv-SE"/>
        </w:rPr>
        <w:t>Inlämning 2: Grupparbete</w:t>
      </w:r>
      <w:r w:rsidR="008D3DA5" w:rsidRPr="00F439E9">
        <w:rPr>
          <w:lang w:val="sv-SE"/>
        </w:rPr>
        <w:t xml:space="preserve">, </w:t>
      </w:r>
      <w:proofErr w:type="spellStart"/>
      <w:r w:rsidR="008D3DA5" w:rsidRPr="00F439E9">
        <w:rPr>
          <w:lang w:val="sv-SE"/>
        </w:rPr>
        <w:t>KSA</w:t>
      </w:r>
      <w:proofErr w:type="spellEnd"/>
      <w:r w:rsidR="008D3DA5" w:rsidRPr="00F439E9">
        <w:rPr>
          <w:lang w:val="sv-SE"/>
        </w:rPr>
        <w:t xml:space="preserve"> för en myndighet</w:t>
      </w:r>
    </w:p>
    <w:p w14:paraId="4077CE32" w14:textId="346E33E3" w:rsidR="002C2EA7" w:rsidRPr="00F439E9" w:rsidRDefault="00FB4EFB" w:rsidP="008D3DA5">
      <w:pPr>
        <w:rPr>
          <w:i/>
          <w:iCs/>
          <w:szCs w:val="22"/>
          <w:lang w:val="sv-SE"/>
        </w:rPr>
      </w:pPr>
      <w:r w:rsidRPr="00F439E9">
        <w:rPr>
          <w:i/>
          <w:iCs/>
          <w:szCs w:val="22"/>
          <w:lang w:val="sv-SE"/>
        </w:rPr>
        <w:t>(</w:t>
      </w:r>
      <w:r w:rsidR="00716416" w:rsidRPr="00F439E9">
        <w:rPr>
          <w:i/>
          <w:iCs/>
          <w:szCs w:val="22"/>
          <w:lang w:val="sv-SE"/>
        </w:rPr>
        <w:t>+</w:t>
      </w:r>
      <w:r w:rsidR="00C75107" w:rsidRPr="00F439E9">
        <w:rPr>
          <w:i/>
          <w:iCs/>
          <w:szCs w:val="22"/>
          <w:lang w:val="sv-SE"/>
        </w:rPr>
        <w:t xml:space="preserve"> </w:t>
      </w:r>
      <w:r w:rsidR="00843A4E" w:rsidRPr="00F439E9">
        <w:rPr>
          <w:i/>
          <w:iCs/>
          <w:szCs w:val="22"/>
          <w:lang w:val="sv-SE"/>
        </w:rPr>
        <w:t>”</w:t>
      </w:r>
      <w:r w:rsidR="00C75107" w:rsidRPr="00F439E9">
        <w:rPr>
          <w:i/>
          <w:iCs/>
          <w:szCs w:val="22"/>
          <w:lang w:val="sv-SE"/>
        </w:rPr>
        <w:t>lästip</w:t>
      </w:r>
      <w:r w:rsidR="00716416" w:rsidRPr="00F439E9">
        <w:rPr>
          <w:i/>
          <w:iCs/>
          <w:szCs w:val="22"/>
          <w:lang w:val="sv-SE"/>
        </w:rPr>
        <w:t>s</w:t>
      </w:r>
      <w:r w:rsidR="00843A4E" w:rsidRPr="00F439E9">
        <w:rPr>
          <w:i/>
          <w:iCs/>
          <w:szCs w:val="22"/>
          <w:lang w:val="sv-SE"/>
        </w:rPr>
        <w:t xml:space="preserve">” </w:t>
      </w:r>
      <w:r w:rsidR="003C1959" w:rsidRPr="00F439E9">
        <w:rPr>
          <w:i/>
          <w:iCs/>
          <w:szCs w:val="22"/>
          <w:lang w:val="sv-SE"/>
        </w:rPr>
        <w:t xml:space="preserve">som finns </w:t>
      </w:r>
      <w:r w:rsidR="00716416" w:rsidRPr="00F439E9">
        <w:rPr>
          <w:i/>
          <w:iCs/>
          <w:szCs w:val="22"/>
          <w:lang w:val="sv-SE"/>
        </w:rPr>
        <w:t>längre ner i dokumentet</w:t>
      </w:r>
      <w:r w:rsidRPr="00F439E9">
        <w:rPr>
          <w:i/>
          <w:iCs/>
          <w:szCs w:val="22"/>
          <w:lang w:val="sv-SE"/>
        </w:rPr>
        <w:t>)</w:t>
      </w:r>
    </w:p>
    <w:p w14:paraId="70705F62" w14:textId="7E175259" w:rsidR="2A5D9553" w:rsidRPr="00F439E9" w:rsidRDefault="2A5D9553" w:rsidP="008D3DA5">
      <w:pPr>
        <w:rPr>
          <w:szCs w:val="22"/>
          <w:lang w:val="sv-SE"/>
        </w:rPr>
      </w:pPr>
    </w:p>
    <w:p w14:paraId="358DFC81" w14:textId="1915F11A" w:rsidR="6020EE31" w:rsidRPr="00F439E9" w:rsidRDefault="6020EE31" w:rsidP="008D3DA5">
      <w:pPr>
        <w:rPr>
          <w:rStyle w:val="Hyperlnk"/>
          <w:rFonts w:eastAsia="Calibri" w:cs="Calibri"/>
          <w:szCs w:val="22"/>
          <w:lang w:val="sv-SE"/>
        </w:rPr>
      </w:pPr>
      <w:r w:rsidRPr="00F439E9">
        <w:rPr>
          <w:rFonts w:eastAsia="Calibri" w:cs="Calibri"/>
          <w:color w:val="000000" w:themeColor="text1"/>
          <w:szCs w:val="22"/>
          <w:lang w:val="sv-SE"/>
        </w:rPr>
        <w:t xml:space="preserve">Nationell strategi för klimatanpassning. </w:t>
      </w:r>
      <w:r w:rsidRPr="00F439E9">
        <w:rPr>
          <w:szCs w:val="22"/>
          <w:lang w:val="sv-SE"/>
        </w:rPr>
        <w:t xml:space="preserve">Regeringens proposition 2017/18:163  </w:t>
      </w:r>
      <w:hyperlink r:id="rId17">
        <w:r w:rsidRPr="00F439E9">
          <w:rPr>
            <w:rStyle w:val="Hyperlnk"/>
            <w:rFonts w:eastAsia="Calibri" w:cs="Calibri"/>
            <w:szCs w:val="22"/>
            <w:lang w:val="sv-SE"/>
          </w:rPr>
          <w:t>https://www.regeringen.se/494483/contentassets/8c1f4fe980ec4fcb8448251acde6bd08/171816300_webb.pdf</w:t>
        </w:r>
      </w:hyperlink>
    </w:p>
    <w:p w14:paraId="7C6FF8E5" w14:textId="23EF763C" w:rsidR="2A5D9553" w:rsidRPr="00F439E9" w:rsidRDefault="2A5D9553" w:rsidP="008D3DA5">
      <w:pPr>
        <w:rPr>
          <w:szCs w:val="22"/>
          <w:lang w:val="sv-SE"/>
        </w:rPr>
      </w:pPr>
    </w:p>
    <w:p w14:paraId="0EFFBA9D" w14:textId="59953615" w:rsidR="002430CB" w:rsidRPr="00F439E9" w:rsidRDefault="2F749DC2" w:rsidP="008D3DA5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Förordning (2018:1428) om myndigheters klimatanpassningsarbete, </w:t>
      </w:r>
      <w:hyperlink r:id="rId18">
        <w:r w:rsidRPr="00F439E9">
          <w:rPr>
            <w:rStyle w:val="Hyperlnk"/>
            <w:szCs w:val="22"/>
            <w:lang w:val="sv-SE"/>
          </w:rPr>
          <w:t>https://www.riksdagen.se/sv/dokument-lagar/dokument/svensk- forfattningssamling/forordning-20181428-om-myndigheters_sfs-2018-1428</w:t>
        </w:r>
      </w:hyperlink>
      <w:r w:rsidR="007D21E8" w:rsidRPr="00F439E9">
        <w:rPr>
          <w:szCs w:val="22"/>
          <w:lang w:val="sv-SE"/>
        </w:rPr>
        <w:t xml:space="preserve"> </w:t>
      </w:r>
    </w:p>
    <w:p w14:paraId="2A3AE4A8" w14:textId="77777777" w:rsidR="00D31514" w:rsidRPr="00F439E9" w:rsidRDefault="00D31514" w:rsidP="008D3DA5">
      <w:pPr>
        <w:rPr>
          <w:szCs w:val="22"/>
          <w:lang w:val="sv-SE"/>
        </w:rPr>
      </w:pPr>
    </w:p>
    <w:p w14:paraId="583A73CD" w14:textId="12FD2888" w:rsidR="00D31514" w:rsidRPr="00C24B1D" w:rsidRDefault="00D31514" w:rsidP="008D3DA5">
      <w:pPr>
        <w:rPr>
          <w:rFonts w:cstheme="minorHAnsi"/>
          <w:szCs w:val="22"/>
        </w:rPr>
      </w:pPr>
      <w:r w:rsidRPr="00C24B1D">
        <w:rPr>
          <w:rFonts w:cstheme="minorHAnsi"/>
          <w:szCs w:val="22"/>
        </w:rPr>
        <w:t>Chapter 1.3 in: Ara Begum, R., R. Lempert, E. Ali, T.A. Benjaminsen, T. Bernauer, W. Cramer, X. Cui, K. Mach, G. Nagy, N.C. Stenseth, R. Sukumar, and P. Wester, 2022: Point of Departure and Key Concepts. In: Climate Change 2022: Impacts, Adaptation and Vulnerability. Contribution of Working Group II to the Sixth Assessment Report of the Intergovernmental Panel on Climate Change [H.-</w:t>
      </w:r>
      <w:proofErr w:type="spellStart"/>
      <w:proofErr w:type="gramStart"/>
      <w:r w:rsidRPr="00C24B1D">
        <w:rPr>
          <w:rFonts w:cstheme="minorHAnsi"/>
          <w:szCs w:val="22"/>
        </w:rPr>
        <w:t>O.Pörtner</w:t>
      </w:r>
      <w:proofErr w:type="spellEnd"/>
      <w:proofErr w:type="gramEnd"/>
      <w:r w:rsidRPr="00C24B1D">
        <w:rPr>
          <w:rFonts w:cstheme="minorHAnsi"/>
          <w:szCs w:val="22"/>
        </w:rPr>
        <w:t xml:space="preserve">, </w:t>
      </w:r>
      <w:proofErr w:type="spellStart"/>
      <w:r w:rsidRPr="00C24B1D">
        <w:rPr>
          <w:rFonts w:cstheme="minorHAnsi"/>
          <w:szCs w:val="22"/>
        </w:rPr>
        <w:t>D.</w:t>
      </w:r>
      <w:proofErr w:type="gramStart"/>
      <w:r w:rsidRPr="00C24B1D">
        <w:rPr>
          <w:rFonts w:cstheme="minorHAnsi"/>
          <w:szCs w:val="22"/>
        </w:rPr>
        <w:t>C.Roberts</w:t>
      </w:r>
      <w:proofErr w:type="spellEnd"/>
      <w:proofErr w:type="gramEnd"/>
      <w:r w:rsidRPr="00C24B1D">
        <w:rPr>
          <w:rFonts w:cstheme="minorHAnsi"/>
          <w:szCs w:val="22"/>
        </w:rPr>
        <w:t xml:space="preserve">, </w:t>
      </w:r>
      <w:proofErr w:type="spellStart"/>
      <w:proofErr w:type="gramStart"/>
      <w:r w:rsidRPr="00C24B1D">
        <w:rPr>
          <w:rFonts w:cstheme="minorHAnsi"/>
          <w:szCs w:val="22"/>
        </w:rPr>
        <w:t>M.Tignor</w:t>
      </w:r>
      <w:proofErr w:type="spellEnd"/>
      <w:proofErr w:type="gramEnd"/>
      <w:r w:rsidRPr="00C24B1D">
        <w:rPr>
          <w:rFonts w:cstheme="minorHAnsi"/>
          <w:szCs w:val="22"/>
        </w:rPr>
        <w:t xml:space="preserve">, </w:t>
      </w:r>
      <w:proofErr w:type="spellStart"/>
      <w:r w:rsidRPr="00C24B1D">
        <w:rPr>
          <w:rFonts w:cstheme="minorHAnsi"/>
          <w:szCs w:val="22"/>
        </w:rPr>
        <w:t>E.</w:t>
      </w:r>
      <w:proofErr w:type="gramStart"/>
      <w:r w:rsidRPr="00C24B1D">
        <w:rPr>
          <w:rFonts w:cstheme="minorHAnsi"/>
          <w:szCs w:val="22"/>
        </w:rPr>
        <w:t>S.Poloczanska</w:t>
      </w:r>
      <w:proofErr w:type="spellEnd"/>
      <w:proofErr w:type="gramEnd"/>
      <w:r w:rsidRPr="00C24B1D">
        <w:rPr>
          <w:rFonts w:cstheme="minorHAnsi"/>
          <w:szCs w:val="22"/>
        </w:rPr>
        <w:t xml:space="preserve">, </w:t>
      </w:r>
      <w:proofErr w:type="spellStart"/>
      <w:proofErr w:type="gramStart"/>
      <w:r w:rsidRPr="00C24B1D">
        <w:rPr>
          <w:rFonts w:cstheme="minorHAnsi"/>
          <w:szCs w:val="22"/>
        </w:rPr>
        <w:t>K.Mintenbeck</w:t>
      </w:r>
      <w:proofErr w:type="spellEnd"/>
      <w:proofErr w:type="gramEnd"/>
      <w:r w:rsidRPr="00C24B1D">
        <w:rPr>
          <w:rFonts w:cstheme="minorHAnsi"/>
          <w:szCs w:val="22"/>
        </w:rPr>
        <w:t xml:space="preserve">, </w:t>
      </w:r>
      <w:proofErr w:type="spellStart"/>
      <w:proofErr w:type="gramStart"/>
      <w:r w:rsidRPr="00C24B1D">
        <w:rPr>
          <w:rFonts w:cstheme="minorHAnsi"/>
          <w:szCs w:val="22"/>
        </w:rPr>
        <w:t>A.Alegría</w:t>
      </w:r>
      <w:proofErr w:type="spellEnd"/>
      <w:proofErr w:type="gramEnd"/>
      <w:r w:rsidRPr="00C24B1D">
        <w:rPr>
          <w:rFonts w:cstheme="minorHAnsi"/>
          <w:szCs w:val="22"/>
        </w:rPr>
        <w:t xml:space="preserve">, </w:t>
      </w:r>
      <w:proofErr w:type="spellStart"/>
      <w:proofErr w:type="gramStart"/>
      <w:r w:rsidRPr="00C24B1D">
        <w:rPr>
          <w:rFonts w:cstheme="minorHAnsi"/>
          <w:szCs w:val="22"/>
        </w:rPr>
        <w:t>M.Craig</w:t>
      </w:r>
      <w:proofErr w:type="spellEnd"/>
      <w:proofErr w:type="gramEnd"/>
      <w:r w:rsidRPr="00C24B1D">
        <w:rPr>
          <w:rFonts w:cstheme="minorHAnsi"/>
          <w:szCs w:val="22"/>
        </w:rPr>
        <w:t xml:space="preserve">, S. Langsdorf, S. Löschke, V. </w:t>
      </w:r>
      <w:proofErr w:type="spellStart"/>
      <w:r w:rsidRPr="00C24B1D">
        <w:rPr>
          <w:rFonts w:cstheme="minorHAnsi"/>
          <w:szCs w:val="22"/>
        </w:rPr>
        <w:t>Möller</w:t>
      </w:r>
      <w:proofErr w:type="spellEnd"/>
      <w:r w:rsidRPr="00C24B1D">
        <w:rPr>
          <w:rFonts w:cstheme="minorHAnsi"/>
          <w:szCs w:val="22"/>
        </w:rPr>
        <w:t xml:space="preserve">, A. </w:t>
      </w:r>
      <w:proofErr w:type="spellStart"/>
      <w:r w:rsidRPr="00C24B1D">
        <w:rPr>
          <w:rFonts w:cstheme="minorHAnsi"/>
          <w:szCs w:val="22"/>
        </w:rPr>
        <w:t>Okem</w:t>
      </w:r>
      <w:proofErr w:type="spellEnd"/>
      <w:r w:rsidRPr="00C24B1D">
        <w:rPr>
          <w:rFonts w:cstheme="minorHAnsi"/>
          <w:szCs w:val="22"/>
        </w:rPr>
        <w:t xml:space="preserve">, B. Rama (eds.)]. Cambridge University Press, Cambridge, UK and New York, NY, </w:t>
      </w:r>
      <w:r w:rsidRPr="00C24B1D">
        <w:rPr>
          <w:rFonts w:cstheme="minorHAnsi"/>
          <w:szCs w:val="22"/>
        </w:rPr>
        <w:lastRenderedPageBreak/>
        <w:t xml:space="preserve">USA, pp. 121–196, doi:10.1017/9781009325844.003. </w:t>
      </w:r>
      <w:hyperlink r:id="rId19" w:history="1">
        <w:r w:rsidRPr="00C24B1D">
          <w:rPr>
            <w:rStyle w:val="Hyperlnk"/>
            <w:rFonts w:cstheme="minorHAnsi"/>
            <w:szCs w:val="22"/>
          </w:rPr>
          <w:t>https://www.ipcc.ch/report/ar6/wg2/downloads/report/IPCC_AR6_WGII_Chapter01.pdf</w:t>
        </w:r>
      </w:hyperlink>
      <w:r w:rsidRPr="00C24B1D">
        <w:rPr>
          <w:rFonts w:cstheme="minorHAnsi"/>
          <w:szCs w:val="22"/>
        </w:rPr>
        <w:t xml:space="preserve"> </w:t>
      </w:r>
    </w:p>
    <w:p w14:paraId="6043D476" w14:textId="77777777" w:rsidR="008D3DA5" w:rsidRPr="00C24B1D" w:rsidRDefault="008D3DA5" w:rsidP="008D3DA5">
      <w:pPr>
        <w:rPr>
          <w:rFonts w:cstheme="minorHAnsi"/>
          <w:szCs w:val="22"/>
        </w:rPr>
      </w:pPr>
    </w:p>
    <w:p w14:paraId="0FBA65C5" w14:textId="77777777" w:rsidR="00EB50E6" w:rsidRPr="00F439E9" w:rsidRDefault="007D21E8" w:rsidP="008D3DA5">
      <w:pPr>
        <w:rPr>
          <w:szCs w:val="22"/>
          <w:lang w:val="sv-SE"/>
        </w:rPr>
      </w:pPr>
      <w:r w:rsidRPr="00C24B1D">
        <w:rPr>
          <w:rFonts w:cstheme="minorHAnsi"/>
          <w:szCs w:val="22"/>
        </w:rPr>
        <w:t xml:space="preserve">IPCC, 2023: Summary for Policymakers. In: Climate Change 2023: Synthesis Report. Contribution of Working Groups I, II and III to the Sixth Assessment Report of the Intergovernmental Panel on Climate Change [Core Writing Team, H. Lee and J. Romero (eds.)]. </w:t>
      </w:r>
      <w:r w:rsidRPr="00F439E9">
        <w:rPr>
          <w:rFonts w:cstheme="minorHAnsi"/>
          <w:szCs w:val="22"/>
          <w:lang w:val="sv-SE"/>
        </w:rPr>
        <w:t xml:space="preserve">IPCC, </w:t>
      </w:r>
      <w:proofErr w:type="spellStart"/>
      <w:r w:rsidRPr="00F439E9">
        <w:rPr>
          <w:rFonts w:cstheme="minorHAnsi"/>
          <w:szCs w:val="22"/>
          <w:lang w:val="sv-SE"/>
        </w:rPr>
        <w:t>Geneva</w:t>
      </w:r>
      <w:proofErr w:type="spellEnd"/>
      <w:r w:rsidRPr="00F439E9">
        <w:rPr>
          <w:rFonts w:cstheme="minorHAnsi"/>
          <w:szCs w:val="22"/>
          <w:lang w:val="sv-SE"/>
        </w:rPr>
        <w:t xml:space="preserve">, </w:t>
      </w:r>
      <w:proofErr w:type="spellStart"/>
      <w:r w:rsidRPr="00F439E9">
        <w:rPr>
          <w:rFonts w:cstheme="minorHAnsi"/>
          <w:szCs w:val="22"/>
          <w:lang w:val="sv-SE"/>
        </w:rPr>
        <w:t>Switzerland</w:t>
      </w:r>
      <w:proofErr w:type="spellEnd"/>
      <w:r w:rsidRPr="00F439E9">
        <w:rPr>
          <w:rFonts w:cstheme="minorHAnsi"/>
          <w:szCs w:val="22"/>
          <w:lang w:val="sv-SE"/>
        </w:rPr>
        <w:t xml:space="preserve">, </w:t>
      </w:r>
      <w:proofErr w:type="spellStart"/>
      <w:r w:rsidRPr="00F439E9">
        <w:rPr>
          <w:rFonts w:cstheme="minorHAnsi"/>
          <w:szCs w:val="22"/>
          <w:lang w:val="sv-SE"/>
        </w:rPr>
        <w:t>pp</w:t>
      </w:r>
      <w:proofErr w:type="spellEnd"/>
      <w:r w:rsidRPr="00F439E9">
        <w:rPr>
          <w:rFonts w:cstheme="minorHAnsi"/>
          <w:szCs w:val="22"/>
          <w:lang w:val="sv-SE"/>
        </w:rPr>
        <w:t xml:space="preserve">. </w:t>
      </w:r>
      <w:proofErr w:type="gramStart"/>
      <w:r w:rsidRPr="00F439E9">
        <w:rPr>
          <w:rFonts w:cstheme="minorHAnsi"/>
          <w:szCs w:val="22"/>
          <w:lang w:val="sv-SE"/>
        </w:rPr>
        <w:t>1-34</w:t>
      </w:r>
      <w:proofErr w:type="gramEnd"/>
      <w:r w:rsidRPr="00F439E9">
        <w:rPr>
          <w:rFonts w:cstheme="minorHAnsi"/>
          <w:szCs w:val="22"/>
          <w:lang w:val="sv-SE"/>
        </w:rPr>
        <w:t xml:space="preserve">, </w:t>
      </w:r>
      <w:proofErr w:type="spellStart"/>
      <w:r w:rsidRPr="00F439E9">
        <w:rPr>
          <w:rFonts w:cstheme="minorHAnsi"/>
          <w:szCs w:val="22"/>
          <w:lang w:val="sv-SE"/>
        </w:rPr>
        <w:t>doi</w:t>
      </w:r>
      <w:proofErr w:type="spellEnd"/>
      <w:r w:rsidRPr="00F439E9">
        <w:rPr>
          <w:rFonts w:cstheme="minorHAnsi"/>
          <w:szCs w:val="22"/>
          <w:lang w:val="sv-SE"/>
        </w:rPr>
        <w:t xml:space="preserve">: </w:t>
      </w:r>
      <w:proofErr w:type="gramStart"/>
      <w:r w:rsidRPr="00F439E9">
        <w:rPr>
          <w:rFonts w:cstheme="minorHAnsi"/>
          <w:szCs w:val="22"/>
          <w:lang w:val="sv-SE"/>
        </w:rPr>
        <w:t>10.59327</w:t>
      </w:r>
      <w:proofErr w:type="gramEnd"/>
      <w:r w:rsidRPr="00F439E9">
        <w:rPr>
          <w:rFonts w:cstheme="minorHAnsi"/>
          <w:szCs w:val="22"/>
          <w:lang w:val="sv-SE"/>
        </w:rPr>
        <w:t>/IPCC/AR6-</w:t>
      </w:r>
      <w:proofErr w:type="gramStart"/>
      <w:r w:rsidRPr="00F439E9">
        <w:rPr>
          <w:rFonts w:cstheme="minorHAnsi"/>
          <w:szCs w:val="22"/>
          <w:lang w:val="sv-SE"/>
        </w:rPr>
        <w:t>9789291691647.001</w:t>
      </w:r>
      <w:proofErr w:type="gramEnd"/>
      <w:r w:rsidR="00FF30EB" w:rsidRPr="00F439E9">
        <w:rPr>
          <w:rFonts w:cstheme="minorHAnsi"/>
          <w:szCs w:val="22"/>
          <w:lang w:val="sv-SE"/>
        </w:rPr>
        <w:t>, SMHI, KLIMATOLOGI Nr 72, 2023,</w:t>
      </w:r>
      <w:r w:rsidR="00D912B1" w:rsidRPr="00F439E9">
        <w:rPr>
          <w:rFonts w:cstheme="minorHAnsi"/>
          <w:szCs w:val="22"/>
          <w:lang w:val="sv-SE"/>
        </w:rPr>
        <w:t xml:space="preserve"> </w:t>
      </w:r>
      <w:hyperlink r:id="rId20" w:history="1">
        <w:r w:rsidR="004A796C" w:rsidRPr="00F439E9">
          <w:rPr>
            <w:rStyle w:val="Hyperlnk"/>
            <w:rFonts w:cstheme="minorHAnsi"/>
            <w:szCs w:val="22"/>
            <w:lang w:val="sv-SE"/>
          </w:rPr>
          <w:t>https://www.smhi.se/polopoly_fs/1.199795!/Klimatologi_72%20Klimat%20i%20förändring%202023%20Syntesrapport.pdf</w:t>
        </w:r>
      </w:hyperlink>
      <w:r w:rsidR="004A23A5" w:rsidRPr="00F439E9">
        <w:rPr>
          <w:szCs w:val="22"/>
          <w:lang w:val="sv-SE"/>
        </w:rPr>
        <w:t xml:space="preserve"> </w:t>
      </w:r>
    </w:p>
    <w:p w14:paraId="51F87024" w14:textId="77777777" w:rsidR="008D3DA5" w:rsidRPr="00F439E9" w:rsidRDefault="008D3DA5" w:rsidP="008D3DA5">
      <w:pPr>
        <w:rPr>
          <w:szCs w:val="22"/>
          <w:lang w:val="sv-SE"/>
        </w:rPr>
      </w:pPr>
    </w:p>
    <w:p w14:paraId="4D6589FC" w14:textId="32DE5842" w:rsidR="00F57597" w:rsidRPr="00C24B1D" w:rsidRDefault="00F57597" w:rsidP="008D3DA5">
      <w:pPr>
        <w:rPr>
          <w:szCs w:val="22"/>
        </w:rPr>
      </w:pPr>
      <w:proofErr w:type="spellStart"/>
      <w:r w:rsidRPr="00C24B1D">
        <w:rPr>
          <w:szCs w:val="22"/>
        </w:rPr>
        <w:t>Füssel</w:t>
      </w:r>
      <w:proofErr w:type="spellEnd"/>
      <w:r w:rsidRPr="00C24B1D">
        <w:rPr>
          <w:szCs w:val="22"/>
        </w:rPr>
        <w:t xml:space="preserve"> H-M, Klein RT (2006) Climate Change Vulnerability Assessments: An Evolution of Conceptual Thinking. Clim Change 75:301–329. </w:t>
      </w:r>
      <w:proofErr w:type="spellStart"/>
      <w:r w:rsidRPr="00C24B1D">
        <w:rPr>
          <w:szCs w:val="22"/>
        </w:rPr>
        <w:t>doi</w:t>
      </w:r>
      <w:proofErr w:type="spellEnd"/>
      <w:r w:rsidRPr="00C24B1D">
        <w:rPr>
          <w:szCs w:val="22"/>
        </w:rPr>
        <w:t>: 10.1007/s10584-006-0329-3</w:t>
      </w:r>
    </w:p>
    <w:p w14:paraId="4B6B6C93" w14:textId="77777777" w:rsidR="00F57597" w:rsidRPr="00C24B1D" w:rsidRDefault="00F57597" w:rsidP="008D3DA5">
      <w:pPr>
        <w:rPr>
          <w:szCs w:val="22"/>
        </w:rPr>
      </w:pPr>
    </w:p>
    <w:p w14:paraId="7331300C" w14:textId="77777777" w:rsidR="00F57597" w:rsidRPr="00F439E9" w:rsidRDefault="00F57597" w:rsidP="008D3DA5">
      <w:pPr>
        <w:rPr>
          <w:szCs w:val="22"/>
          <w:lang w:val="sv-SE"/>
        </w:rPr>
      </w:pPr>
      <w:proofErr w:type="spellStart"/>
      <w:r w:rsidRPr="00C24B1D">
        <w:rPr>
          <w:szCs w:val="22"/>
        </w:rPr>
        <w:t>Jurgilevich</w:t>
      </w:r>
      <w:proofErr w:type="spellEnd"/>
      <w:r w:rsidRPr="00C24B1D">
        <w:rPr>
          <w:szCs w:val="22"/>
        </w:rPr>
        <w:t xml:space="preserve"> A, Räsänen A, </w:t>
      </w:r>
      <w:proofErr w:type="spellStart"/>
      <w:r w:rsidRPr="00C24B1D">
        <w:rPr>
          <w:szCs w:val="22"/>
        </w:rPr>
        <w:t>Groundstroem</w:t>
      </w:r>
      <w:proofErr w:type="spellEnd"/>
      <w:r w:rsidRPr="00C24B1D">
        <w:rPr>
          <w:szCs w:val="22"/>
        </w:rPr>
        <w:t xml:space="preserve"> F, Juhola S (2017) A systematic review of dynamics in climate risk and vulnerability assessments. </w:t>
      </w:r>
      <w:proofErr w:type="spellStart"/>
      <w:r w:rsidRPr="00F439E9">
        <w:rPr>
          <w:szCs w:val="22"/>
          <w:lang w:val="sv-SE"/>
        </w:rPr>
        <w:t>Environ</w:t>
      </w:r>
      <w:proofErr w:type="spellEnd"/>
      <w:r w:rsidRPr="00F439E9">
        <w:rPr>
          <w:szCs w:val="22"/>
          <w:lang w:val="sv-SE"/>
        </w:rPr>
        <w:t xml:space="preserve"> Res Lett 12:</w:t>
      </w:r>
      <w:proofErr w:type="gramStart"/>
      <w:r w:rsidRPr="00F439E9">
        <w:rPr>
          <w:szCs w:val="22"/>
          <w:lang w:val="sv-SE"/>
        </w:rPr>
        <w:t>13002</w:t>
      </w:r>
      <w:proofErr w:type="gramEnd"/>
      <w:r w:rsidRPr="00F439E9">
        <w:rPr>
          <w:szCs w:val="22"/>
          <w:lang w:val="sv-SE"/>
        </w:rPr>
        <w:t xml:space="preserve">. </w:t>
      </w:r>
      <w:proofErr w:type="spellStart"/>
      <w:r w:rsidRPr="00F439E9">
        <w:rPr>
          <w:szCs w:val="22"/>
          <w:lang w:val="sv-SE"/>
        </w:rPr>
        <w:t>doi</w:t>
      </w:r>
      <w:proofErr w:type="spellEnd"/>
      <w:r w:rsidRPr="00F439E9">
        <w:rPr>
          <w:szCs w:val="22"/>
          <w:lang w:val="sv-SE"/>
        </w:rPr>
        <w:t xml:space="preserve">: </w:t>
      </w:r>
      <w:proofErr w:type="gramStart"/>
      <w:r w:rsidRPr="00F439E9">
        <w:rPr>
          <w:szCs w:val="22"/>
          <w:lang w:val="sv-SE"/>
        </w:rPr>
        <w:t>10.1088</w:t>
      </w:r>
      <w:proofErr w:type="gramEnd"/>
      <w:r w:rsidRPr="00F439E9">
        <w:rPr>
          <w:szCs w:val="22"/>
          <w:lang w:val="sv-SE"/>
        </w:rPr>
        <w:t>/</w:t>
      </w:r>
      <w:proofErr w:type="gramStart"/>
      <w:r w:rsidRPr="00F439E9">
        <w:rPr>
          <w:szCs w:val="22"/>
          <w:lang w:val="sv-SE"/>
        </w:rPr>
        <w:t>1748-9326</w:t>
      </w:r>
      <w:proofErr w:type="gramEnd"/>
      <w:r w:rsidRPr="00F439E9">
        <w:rPr>
          <w:szCs w:val="22"/>
          <w:lang w:val="sv-SE"/>
        </w:rPr>
        <w:t>/aa5508</w:t>
      </w:r>
    </w:p>
    <w:p w14:paraId="410D24BC" w14:textId="77777777" w:rsidR="00F57597" w:rsidRPr="00F439E9" w:rsidRDefault="00F57597" w:rsidP="008D3DA5">
      <w:pPr>
        <w:rPr>
          <w:szCs w:val="22"/>
          <w:lang w:val="sv-SE"/>
        </w:rPr>
      </w:pPr>
    </w:p>
    <w:p w14:paraId="2D02CFF1" w14:textId="77777777" w:rsidR="00920374" w:rsidRPr="00F439E9" w:rsidRDefault="00920374" w:rsidP="008D3DA5">
      <w:pPr>
        <w:rPr>
          <w:szCs w:val="22"/>
          <w:lang w:val="sv-SE"/>
        </w:rPr>
      </w:pPr>
    </w:p>
    <w:p w14:paraId="107FECBB" w14:textId="6EACAE0E" w:rsidR="2A5D9553" w:rsidRPr="00F439E9" w:rsidRDefault="2A5D9553" w:rsidP="008D3DA5">
      <w:pPr>
        <w:rPr>
          <w:szCs w:val="22"/>
          <w:lang w:val="sv-SE"/>
        </w:rPr>
      </w:pPr>
    </w:p>
    <w:p w14:paraId="75710770" w14:textId="7A281667" w:rsidR="5C6BDF0E" w:rsidRPr="00F439E9" w:rsidRDefault="5C6BDF0E" w:rsidP="008D3DA5">
      <w:pPr>
        <w:rPr>
          <w:szCs w:val="22"/>
          <w:lang w:val="sv-SE"/>
        </w:rPr>
      </w:pPr>
      <w:r w:rsidRPr="00F439E9">
        <w:rPr>
          <w:szCs w:val="22"/>
          <w:lang w:val="sv-SE"/>
        </w:rPr>
        <w:br w:type="page"/>
      </w:r>
    </w:p>
    <w:p w14:paraId="052CE42A" w14:textId="02D1A3B2" w:rsidR="2A5D9553" w:rsidRPr="00F439E9" w:rsidRDefault="2A5D9553" w:rsidP="008D3DA5">
      <w:pPr>
        <w:rPr>
          <w:szCs w:val="22"/>
          <w:lang w:val="sv-SE"/>
        </w:rPr>
      </w:pPr>
    </w:p>
    <w:p w14:paraId="2E2BBE31" w14:textId="3F6DEB6D" w:rsidR="000E180A" w:rsidRPr="00F439E9" w:rsidRDefault="000E180A" w:rsidP="00FC2765">
      <w:pPr>
        <w:pStyle w:val="Rubrik1"/>
        <w:rPr>
          <w:lang w:val="sv-SE"/>
        </w:rPr>
      </w:pPr>
      <w:r w:rsidRPr="00F439E9">
        <w:rPr>
          <w:lang w:val="sv-SE"/>
        </w:rPr>
        <w:t>Lästips – frivillig läsning</w:t>
      </w:r>
    </w:p>
    <w:p w14:paraId="5634CCFF" w14:textId="059F92E6" w:rsidR="00AF3909" w:rsidRPr="00F439E9" w:rsidRDefault="00AF3909" w:rsidP="003952C2">
      <w:pPr>
        <w:pStyle w:val="Rubrik2"/>
        <w:rPr>
          <w:lang w:val="sv-SE"/>
        </w:rPr>
      </w:pPr>
      <w:r w:rsidRPr="00F439E9">
        <w:rPr>
          <w:lang w:val="sv-SE"/>
        </w:rPr>
        <w:t xml:space="preserve">Lästips </w:t>
      </w:r>
      <w:r w:rsidR="00BC6C95" w:rsidRPr="00F439E9">
        <w:rPr>
          <w:lang w:val="sv-SE"/>
        </w:rPr>
        <w:t>‘</w:t>
      </w:r>
      <w:proofErr w:type="spellStart"/>
      <w:r w:rsidR="00BC6C95" w:rsidRPr="00F439E9">
        <w:rPr>
          <w:lang w:val="sv-SE"/>
        </w:rPr>
        <w:t>M</w:t>
      </w:r>
      <w:r w:rsidRPr="00F439E9">
        <w:rPr>
          <w:lang w:val="sv-SE"/>
        </w:rPr>
        <w:t>atsäkerhet</w:t>
      </w:r>
      <w:proofErr w:type="spellEnd"/>
      <w:r w:rsidR="00BC6C95" w:rsidRPr="00F439E9">
        <w:rPr>
          <w:lang w:val="sv-SE"/>
        </w:rPr>
        <w:t>’</w:t>
      </w:r>
    </w:p>
    <w:p w14:paraId="42A947F9" w14:textId="77777777" w:rsidR="00AF3909" w:rsidRPr="00F439E9" w:rsidRDefault="00AF3909" w:rsidP="008D3DA5">
      <w:pPr>
        <w:rPr>
          <w:lang w:val="sv-SE"/>
        </w:rPr>
      </w:pPr>
      <w:r w:rsidRPr="00F439E9">
        <w:rPr>
          <w:lang w:val="sv-SE"/>
        </w:rPr>
        <w:t xml:space="preserve">Eriksson, C., Fischer, K., &amp; </w:t>
      </w:r>
      <w:proofErr w:type="spellStart"/>
      <w:r w:rsidRPr="00F439E9">
        <w:rPr>
          <w:lang w:val="sv-SE"/>
        </w:rPr>
        <w:t>Ulfbecker</w:t>
      </w:r>
      <w:proofErr w:type="spellEnd"/>
      <w:r w:rsidRPr="00F439E9">
        <w:rPr>
          <w:lang w:val="sv-SE"/>
        </w:rPr>
        <w:t xml:space="preserve">, E. (2020). </w:t>
      </w:r>
      <w:proofErr w:type="spellStart"/>
      <w:r w:rsidRPr="00C24B1D">
        <w:t>Technovisions</w:t>
      </w:r>
      <w:proofErr w:type="spellEnd"/>
      <w:r w:rsidRPr="00C24B1D">
        <w:t xml:space="preserve"> for Food Security as Sweden Restores Its Civil </w:t>
      </w:r>
      <w:proofErr w:type="spellStart"/>
      <w:r w:rsidRPr="00C24B1D">
        <w:t>Defence</w:t>
      </w:r>
      <w:proofErr w:type="spellEnd"/>
      <w:r w:rsidRPr="00C24B1D">
        <w:t>.</w:t>
      </w:r>
      <w:r w:rsidRPr="00C24B1D">
        <w:rPr>
          <w:rStyle w:val="apple-converted-space"/>
          <w:rFonts w:cs="Calibri"/>
        </w:rPr>
        <w:t> </w:t>
      </w:r>
      <w:proofErr w:type="spellStart"/>
      <w:r w:rsidRPr="00F439E9">
        <w:rPr>
          <w:i/>
          <w:iCs/>
          <w:lang w:val="sv-SE"/>
        </w:rPr>
        <w:t>Technology</w:t>
      </w:r>
      <w:proofErr w:type="spellEnd"/>
      <w:r w:rsidRPr="00F439E9">
        <w:rPr>
          <w:i/>
          <w:iCs/>
          <w:lang w:val="sv-SE"/>
        </w:rPr>
        <w:t xml:space="preserve"> &amp; </w:t>
      </w:r>
      <w:proofErr w:type="spellStart"/>
      <w:r w:rsidRPr="00F439E9">
        <w:rPr>
          <w:i/>
          <w:iCs/>
          <w:lang w:val="sv-SE"/>
        </w:rPr>
        <w:t>Society</w:t>
      </w:r>
      <w:proofErr w:type="spellEnd"/>
      <w:r w:rsidRPr="00F439E9">
        <w:rPr>
          <w:lang w:val="sv-SE"/>
        </w:rPr>
        <w:t>,</w:t>
      </w:r>
      <w:r w:rsidRPr="00F439E9">
        <w:rPr>
          <w:rStyle w:val="apple-converted-space"/>
          <w:rFonts w:cs="Calibri"/>
          <w:lang w:val="sv-SE"/>
        </w:rPr>
        <w:t> </w:t>
      </w:r>
      <w:r w:rsidRPr="00F439E9">
        <w:rPr>
          <w:i/>
          <w:iCs/>
          <w:lang w:val="sv-SE"/>
        </w:rPr>
        <w:t>25</w:t>
      </w:r>
      <w:r w:rsidRPr="00F439E9">
        <w:rPr>
          <w:lang w:val="sv-SE"/>
        </w:rPr>
        <w:t>, 106–123.</w:t>
      </w:r>
      <w:r w:rsidRPr="00F439E9">
        <w:rPr>
          <w:rStyle w:val="apple-converted-space"/>
          <w:rFonts w:cs="Calibri"/>
          <w:lang w:val="sv-SE"/>
        </w:rPr>
        <w:t> </w:t>
      </w:r>
      <w:hyperlink r:id="rId21" w:history="1">
        <w:r w:rsidRPr="00F439E9">
          <w:rPr>
            <w:rStyle w:val="Hyperlnk"/>
            <w:rFonts w:cs="Calibri"/>
            <w:color w:val="0563C1"/>
            <w:lang w:val="sv-SE"/>
          </w:rPr>
          <w:t>https://doi.org/10.1177/0971721819889924</w:t>
        </w:r>
      </w:hyperlink>
    </w:p>
    <w:p w14:paraId="733B0687" w14:textId="77777777" w:rsidR="00AF3909" w:rsidRPr="00F439E9" w:rsidRDefault="00AF3909" w:rsidP="008D3DA5">
      <w:pPr>
        <w:rPr>
          <w:lang w:val="sv-SE"/>
        </w:rPr>
      </w:pPr>
      <w:r w:rsidRPr="00F439E9">
        <w:rPr>
          <w:lang w:val="sv-SE"/>
        </w:rPr>
        <w:t> </w:t>
      </w:r>
    </w:p>
    <w:p w14:paraId="6066CABB" w14:textId="77777777" w:rsidR="00C34B1C" w:rsidRDefault="00C34B1C" w:rsidP="00C34B1C">
      <w:pPr>
        <w:rPr>
          <w:rStyle w:val="Hyperlnk"/>
          <w:rFonts w:cs="Calibri"/>
          <w:color w:val="0563C1"/>
          <w:szCs w:val="22"/>
        </w:rPr>
      </w:pPr>
      <w:r w:rsidRPr="00C24B1D">
        <w:rPr>
          <w:szCs w:val="22"/>
        </w:rPr>
        <w:t>FAO, IFAD, UNICEF, WFP, &amp; WHO. (2020).</w:t>
      </w:r>
      <w:r w:rsidRPr="00C24B1D">
        <w:rPr>
          <w:rStyle w:val="apple-converted-space"/>
          <w:rFonts w:cs="Calibri"/>
          <w:szCs w:val="22"/>
        </w:rPr>
        <w:t> </w:t>
      </w:r>
      <w:r w:rsidRPr="00C24B1D">
        <w:rPr>
          <w:i/>
          <w:iCs/>
          <w:szCs w:val="22"/>
        </w:rPr>
        <w:t>The State of Food Security and Nutrition in the World 2020. Transforming food systems for affordable healthy diets</w:t>
      </w:r>
      <w:r w:rsidRPr="00C24B1D">
        <w:rPr>
          <w:szCs w:val="22"/>
        </w:rPr>
        <w:t>.</w:t>
      </w:r>
      <w:r w:rsidRPr="00C24B1D">
        <w:rPr>
          <w:rStyle w:val="apple-converted-space"/>
          <w:rFonts w:cs="Calibri"/>
          <w:szCs w:val="22"/>
        </w:rPr>
        <w:t> </w:t>
      </w:r>
      <w:hyperlink r:id="rId22" w:history="1">
        <w:r w:rsidRPr="00C24B1D">
          <w:rPr>
            <w:rStyle w:val="Hyperlnk"/>
            <w:rFonts w:cs="Calibri"/>
            <w:color w:val="0563C1"/>
            <w:szCs w:val="22"/>
          </w:rPr>
          <w:t>https://doi.org/10.4060/ca9692en</w:t>
        </w:r>
      </w:hyperlink>
    </w:p>
    <w:p w14:paraId="43118BC1" w14:textId="77777777" w:rsidR="00C34B1C" w:rsidRPr="00C24B1D" w:rsidRDefault="00C34B1C" w:rsidP="00C34B1C"/>
    <w:p w14:paraId="627C51E1" w14:textId="77777777" w:rsidR="00C34B1C" w:rsidRPr="00C24B1D" w:rsidRDefault="00C34B1C" w:rsidP="00C34B1C">
      <w:r w:rsidRPr="00C24B1D">
        <w:rPr>
          <w:szCs w:val="22"/>
        </w:rPr>
        <w:t>European Commission (2020).</w:t>
      </w:r>
      <w:r w:rsidRPr="00C24B1D">
        <w:rPr>
          <w:rStyle w:val="apple-converted-space"/>
          <w:rFonts w:cs="Calibri"/>
          <w:szCs w:val="22"/>
        </w:rPr>
        <w:t> </w:t>
      </w:r>
      <w:r w:rsidRPr="00C24B1D">
        <w:rPr>
          <w:i/>
          <w:iCs/>
        </w:rPr>
        <w:t>Farm to Fork Strategy – for a fair, healthy and environmentally-friendly food system.</w:t>
      </w:r>
    </w:p>
    <w:p w14:paraId="565E1ECC" w14:textId="77777777" w:rsidR="00C34B1C" w:rsidRDefault="00C34B1C" w:rsidP="00C34B1C">
      <w:pPr>
        <w:rPr>
          <w:rStyle w:val="Hyperlnk"/>
          <w:rFonts w:cs="Calibri"/>
          <w:color w:val="0563C1"/>
          <w:szCs w:val="22"/>
        </w:rPr>
      </w:pPr>
      <w:hyperlink r:id="rId23" w:tooltip="https://ec.europa.eu/food/sites/food/files/safety/docs/f2f_action-plan_2020_strategy-info_en.pdf" w:history="1">
        <w:r w:rsidRPr="00C24B1D">
          <w:rPr>
            <w:rStyle w:val="Hyperlnk"/>
            <w:rFonts w:cs="Calibri"/>
            <w:color w:val="0563C1"/>
            <w:szCs w:val="22"/>
          </w:rPr>
          <w:t>https://ec.europa.eu/food/sites/food/files/safety/docs/f2f_action-plan_2020_strategy-info_en.pdf</w:t>
        </w:r>
      </w:hyperlink>
    </w:p>
    <w:p w14:paraId="7FF81FAD" w14:textId="77777777" w:rsidR="00C34B1C" w:rsidRDefault="00C34B1C" w:rsidP="00C34B1C">
      <w:pPr>
        <w:rPr>
          <w:rStyle w:val="Hyperlnk"/>
          <w:rFonts w:cs="Calibri"/>
          <w:color w:val="0563C1"/>
          <w:szCs w:val="22"/>
        </w:rPr>
      </w:pPr>
    </w:p>
    <w:p w14:paraId="6CE93866" w14:textId="77777777" w:rsidR="00C34B1C" w:rsidRPr="0016067E" w:rsidRDefault="00C34B1C" w:rsidP="00C34B1C">
      <w:pPr>
        <w:rPr>
          <w:szCs w:val="22"/>
          <w:lang w:val="sv-SE"/>
        </w:rPr>
      </w:pPr>
      <w:r w:rsidRPr="0016067E">
        <w:rPr>
          <w:szCs w:val="22"/>
          <w:lang w:val="sv-SE"/>
        </w:rPr>
        <w:t>Livsmedelsberedskap för en ny tid (SOU 2024:8). Betänkande av Utredningen om en ny livsmedelsberedskap.</w:t>
      </w:r>
    </w:p>
    <w:p w14:paraId="4A2581B6" w14:textId="77777777" w:rsidR="00C34B1C" w:rsidRDefault="00C34B1C" w:rsidP="00C34B1C">
      <w:pPr>
        <w:rPr>
          <w:szCs w:val="22"/>
        </w:rPr>
      </w:pPr>
      <w:hyperlink r:id="rId24" w:tooltip="https://www.regeringen.se/contentassets/fc08dfb51d014b3996b719005beb146f/livsmedelsberedskap-for-en-ny-tid-sou-20248.pdf" w:history="1">
        <w:r w:rsidRPr="0016067E">
          <w:rPr>
            <w:rStyle w:val="Hyperlnk"/>
            <w:szCs w:val="22"/>
            <w:lang w:val="sv-SE"/>
          </w:rPr>
          <w:t>https://www.regeringen.se/contentassets/fc08dfb51d014b3996b719005beb146f/livsmedelsberedskap-for-en-ny-tid-sou-20248.pdf</w:t>
        </w:r>
      </w:hyperlink>
    </w:p>
    <w:p w14:paraId="43CB0C86" w14:textId="77777777" w:rsidR="00C34B1C" w:rsidRPr="0016067E" w:rsidRDefault="00C34B1C" w:rsidP="00C34B1C">
      <w:pPr>
        <w:rPr>
          <w:szCs w:val="22"/>
          <w:lang w:val="sv-SE"/>
        </w:rPr>
      </w:pPr>
    </w:p>
    <w:p w14:paraId="3A765889" w14:textId="7F9AE1B5" w:rsidR="00AF3909" w:rsidRPr="00C24B1D" w:rsidRDefault="00AF3909" w:rsidP="008D3DA5">
      <w:r w:rsidRPr="00F439E9">
        <w:rPr>
          <w:lang w:val="sv-SE"/>
        </w:rPr>
        <w:t>Näringsdepartementet (2020).</w:t>
      </w:r>
      <w:r w:rsidRPr="00F439E9">
        <w:rPr>
          <w:rStyle w:val="apple-converted-space"/>
          <w:rFonts w:cs="Calibri"/>
          <w:lang w:val="sv-SE"/>
        </w:rPr>
        <w:t> </w:t>
      </w:r>
      <w:r w:rsidRPr="00F439E9">
        <w:rPr>
          <w:i/>
          <w:iCs/>
          <w:lang w:val="sv-SE"/>
        </w:rPr>
        <w:t>Livskraft – mätt och frisk. Öppen sammanfattning av Livsmedelsverkets, Jordbruksverkets och Statens veterinärmedicinska anstalts redovisning gällande underlag för den fortsatta inriktningen av det civila försvaret (Ju2019/02477/SSK).</w:t>
      </w:r>
      <w:r w:rsidRPr="00F439E9">
        <w:rPr>
          <w:rStyle w:val="apple-converted-space"/>
          <w:rFonts w:cs="Calibri"/>
          <w:lang w:val="sv-SE"/>
        </w:rPr>
        <w:t> </w:t>
      </w:r>
      <w:hyperlink r:id="rId25">
        <w:r w:rsidRPr="00C24B1D">
          <w:rPr>
            <w:rStyle w:val="Hyperlnk"/>
            <w:rFonts w:cs="Calibri"/>
            <w:color w:val="0563C1"/>
          </w:rPr>
          <w:t>https://www.livsmedelsverket.se/globalassets/om-oss/redovisade-reguppdrag/oppen-sammanfattning-livskraft-matt-och-frisk.pdf</w:t>
        </w:r>
      </w:hyperlink>
    </w:p>
    <w:p w14:paraId="73D1C6C6" w14:textId="77777777" w:rsidR="00F57597" w:rsidRPr="00C24B1D" w:rsidRDefault="00F57597" w:rsidP="008D3DA5"/>
    <w:p w14:paraId="3EAEAD0F" w14:textId="77777777" w:rsidR="0016067E" w:rsidRPr="0016067E" w:rsidRDefault="0016067E" w:rsidP="0016067E">
      <w:pPr>
        <w:rPr>
          <w:szCs w:val="22"/>
          <w:lang w:val="sv-SE"/>
        </w:rPr>
      </w:pPr>
    </w:p>
    <w:p w14:paraId="3D4D89CD" w14:textId="77777777" w:rsidR="0016067E" w:rsidRPr="0016067E" w:rsidRDefault="0016067E" w:rsidP="008D3DA5">
      <w:pPr>
        <w:rPr>
          <w:szCs w:val="22"/>
          <w:lang w:val="sv-SE"/>
        </w:rPr>
      </w:pPr>
    </w:p>
    <w:p w14:paraId="4D97B13A" w14:textId="4F76E46C" w:rsidR="0026551A" w:rsidRPr="0016067E" w:rsidRDefault="0026551A" w:rsidP="00F57597">
      <w:pPr>
        <w:rPr>
          <w:szCs w:val="22"/>
          <w:lang w:val="sv-SE"/>
        </w:rPr>
      </w:pPr>
    </w:p>
    <w:p w14:paraId="1F25E1B9" w14:textId="6C6A8889" w:rsidR="0026551A" w:rsidRPr="00F439E9" w:rsidRDefault="0026551A" w:rsidP="00FC2765">
      <w:pPr>
        <w:pStyle w:val="Rubrik2"/>
        <w:rPr>
          <w:lang w:val="sv-SE"/>
        </w:rPr>
      </w:pPr>
      <w:r w:rsidRPr="00F439E9">
        <w:rPr>
          <w:lang w:val="sv-SE"/>
        </w:rPr>
        <w:t>Lästips ‘</w:t>
      </w:r>
      <w:r w:rsidR="00B14F60" w:rsidRPr="00F439E9">
        <w:rPr>
          <w:lang w:val="sv-SE"/>
        </w:rPr>
        <w:t>S</w:t>
      </w:r>
      <w:r w:rsidRPr="00F439E9">
        <w:rPr>
          <w:lang w:val="sv-SE"/>
        </w:rPr>
        <w:t>årbar</w:t>
      </w:r>
      <w:r w:rsidR="00B14F60" w:rsidRPr="00F439E9">
        <w:rPr>
          <w:lang w:val="sv-SE"/>
        </w:rPr>
        <w:t>het i olika kontexter</w:t>
      </w:r>
      <w:r w:rsidRPr="00F439E9">
        <w:rPr>
          <w:lang w:val="sv-SE"/>
        </w:rPr>
        <w:t>?’</w:t>
      </w:r>
    </w:p>
    <w:p w14:paraId="0524049D" w14:textId="77777777" w:rsidR="0026551A" w:rsidRPr="00F439E9" w:rsidRDefault="0026551A" w:rsidP="008D3DA5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Ali, T.S., Gunilla Krantz, Raisa Gul, </w:t>
      </w:r>
      <w:proofErr w:type="spellStart"/>
      <w:r w:rsidRPr="00F439E9">
        <w:rPr>
          <w:szCs w:val="22"/>
          <w:lang w:val="sv-SE"/>
        </w:rPr>
        <w:t>Nargis</w:t>
      </w:r>
      <w:proofErr w:type="spellEnd"/>
      <w:r w:rsidRPr="00F439E9">
        <w:rPr>
          <w:szCs w:val="22"/>
          <w:lang w:val="sv-SE"/>
        </w:rPr>
        <w:t xml:space="preserve"> Asad, Eva Johansson &amp; Ingrid</w:t>
      </w:r>
    </w:p>
    <w:p w14:paraId="51D19BC7" w14:textId="77777777" w:rsidR="0026551A" w:rsidRPr="00C24B1D" w:rsidRDefault="0026551A" w:rsidP="008D3DA5">
      <w:pPr>
        <w:rPr>
          <w:szCs w:val="22"/>
        </w:rPr>
      </w:pPr>
      <w:r w:rsidRPr="00C24B1D">
        <w:rPr>
          <w:szCs w:val="22"/>
        </w:rPr>
        <w:t>Mogren (2011). Gender roles and their influence on life prospects for women in urban Karachi,</w:t>
      </w:r>
    </w:p>
    <w:p w14:paraId="71520997" w14:textId="77777777" w:rsidR="0026551A" w:rsidRPr="00C24B1D" w:rsidRDefault="0026551A" w:rsidP="008D3DA5">
      <w:pPr>
        <w:rPr>
          <w:szCs w:val="22"/>
        </w:rPr>
      </w:pPr>
      <w:r w:rsidRPr="00C24B1D">
        <w:rPr>
          <w:szCs w:val="22"/>
        </w:rPr>
        <w:t>Pakistan: a qualitative study, Global Health Action, 4:1: 7448, DOI: 10.3402/</w:t>
      </w:r>
      <w:proofErr w:type="gramStart"/>
      <w:r w:rsidRPr="00C24B1D">
        <w:rPr>
          <w:szCs w:val="22"/>
        </w:rPr>
        <w:t>gha.v</w:t>
      </w:r>
      <w:proofErr w:type="gramEnd"/>
      <w:r w:rsidRPr="00C24B1D">
        <w:rPr>
          <w:szCs w:val="22"/>
        </w:rPr>
        <w:t>4i0.7448</w:t>
      </w:r>
    </w:p>
    <w:p w14:paraId="7346E010" w14:textId="77777777" w:rsidR="0026551A" w:rsidRPr="00C24B1D" w:rsidRDefault="0026551A" w:rsidP="008D3DA5">
      <w:pPr>
        <w:rPr>
          <w:szCs w:val="22"/>
        </w:rPr>
      </w:pPr>
    </w:p>
    <w:p w14:paraId="010EA98C" w14:textId="77777777" w:rsidR="0026551A" w:rsidRPr="00C24B1D" w:rsidRDefault="0026551A" w:rsidP="008D3DA5">
      <w:pPr>
        <w:rPr>
          <w:rFonts w:eastAsia="Times New Roman"/>
          <w:szCs w:val="22"/>
        </w:rPr>
      </w:pPr>
      <w:r w:rsidRPr="00C24B1D">
        <w:rPr>
          <w:rFonts w:eastAsia="Times New Roman"/>
          <w:color w:val="222222"/>
          <w:szCs w:val="22"/>
          <w:shd w:val="clear" w:color="auto" w:fill="FFFFFF"/>
        </w:rPr>
        <w:t>Burkart, Katrin, et al. (2016). "Modification of heat-related mortality in an elderly urban population by vegetation (urban green) and proximity to water (urban blue): evidence from Lisbon, Portugal." </w:t>
      </w:r>
      <w:r w:rsidRPr="00C24B1D">
        <w:rPr>
          <w:rFonts w:eastAsia="Times New Roman"/>
          <w:i/>
          <w:iCs/>
          <w:color w:val="222222"/>
          <w:szCs w:val="22"/>
        </w:rPr>
        <w:t>Environmental health perspectives</w:t>
      </w:r>
      <w:r w:rsidRPr="00C24B1D">
        <w:rPr>
          <w:rFonts w:eastAsia="Times New Roman"/>
          <w:color w:val="222222"/>
          <w:szCs w:val="22"/>
          <w:shd w:val="clear" w:color="auto" w:fill="FFFFFF"/>
        </w:rPr>
        <w:t> 124.7: 927-934.</w:t>
      </w:r>
    </w:p>
    <w:p w14:paraId="2A8B0A58" w14:textId="77777777" w:rsidR="0026551A" w:rsidRPr="00C24B1D" w:rsidRDefault="0026551A" w:rsidP="008D3DA5">
      <w:pPr>
        <w:rPr>
          <w:color w:val="222222"/>
          <w:szCs w:val="22"/>
          <w:shd w:val="clear" w:color="auto" w:fill="FFFFFF"/>
        </w:rPr>
      </w:pPr>
    </w:p>
    <w:p w14:paraId="3318AB6F" w14:textId="18C6D336" w:rsidR="0026551A" w:rsidRPr="00C24B1D" w:rsidRDefault="0026551A" w:rsidP="008D3DA5">
      <w:pPr>
        <w:rPr>
          <w:color w:val="222222"/>
          <w:szCs w:val="22"/>
          <w:shd w:val="clear" w:color="auto" w:fill="FFFFFF"/>
        </w:rPr>
      </w:pPr>
      <w:r w:rsidRPr="00C24B1D">
        <w:rPr>
          <w:color w:val="222222"/>
          <w:szCs w:val="22"/>
          <w:shd w:val="clear" w:color="auto" w:fill="FFFFFF"/>
        </w:rPr>
        <w:lastRenderedPageBreak/>
        <w:t>Ceccato, Vania, and Mahesh K. Nalla.</w:t>
      </w:r>
      <w:r w:rsidRPr="00C24B1D">
        <w:rPr>
          <w:rStyle w:val="apple-converted-space"/>
          <w:rFonts w:cs="Calibri"/>
          <w:color w:val="222222"/>
          <w:szCs w:val="22"/>
          <w:shd w:val="clear" w:color="auto" w:fill="FFFFFF"/>
        </w:rPr>
        <w:t xml:space="preserve"> (2020). </w:t>
      </w:r>
      <w:r w:rsidRPr="00C24B1D">
        <w:rPr>
          <w:i/>
          <w:iCs/>
          <w:color w:val="222222"/>
          <w:szCs w:val="22"/>
        </w:rPr>
        <w:t>Crime and Fear in Public Places: Towards Safe, Inclusive and Sustainable Cities</w:t>
      </w:r>
      <w:r w:rsidRPr="00C24B1D">
        <w:rPr>
          <w:color w:val="222222"/>
          <w:szCs w:val="22"/>
          <w:shd w:val="clear" w:color="auto" w:fill="FFFFFF"/>
        </w:rPr>
        <w:t>. Taylor &amp; Francis.</w:t>
      </w:r>
    </w:p>
    <w:p w14:paraId="5475A205" w14:textId="77777777" w:rsidR="0026551A" w:rsidRPr="00C24B1D" w:rsidRDefault="0026551A" w:rsidP="008D3DA5">
      <w:pPr>
        <w:rPr>
          <w:rFonts w:eastAsia="Times New Roman"/>
          <w:color w:val="222222"/>
          <w:szCs w:val="22"/>
          <w:shd w:val="clear" w:color="auto" w:fill="FFFFFF"/>
        </w:rPr>
      </w:pPr>
    </w:p>
    <w:p w14:paraId="3FD57019" w14:textId="77777777" w:rsidR="0026551A" w:rsidRPr="00C24B1D" w:rsidRDefault="0026551A" w:rsidP="008D3DA5">
      <w:pPr>
        <w:rPr>
          <w:rFonts w:eastAsia="Times New Roman" w:cs="Times New Roman"/>
          <w:szCs w:val="22"/>
        </w:rPr>
      </w:pPr>
      <w:r w:rsidRPr="00C24B1D">
        <w:rPr>
          <w:rFonts w:eastAsia="Times New Roman" w:cs="Arial"/>
          <w:color w:val="222222"/>
          <w:szCs w:val="22"/>
          <w:shd w:val="clear" w:color="auto" w:fill="FFFFFF"/>
        </w:rPr>
        <w:t xml:space="preserve">de Assis Dias, M. C., Saito, S. M., dos Santos </w:t>
      </w:r>
      <w:proofErr w:type="spellStart"/>
      <w:r w:rsidRPr="00C24B1D">
        <w:rPr>
          <w:rFonts w:eastAsia="Times New Roman" w:cs="Arial"/>
          <w:color w:val="222222"/>
          <w:szCs w:val="22"/>
          <w:shd w:val="clear" w:color="auto" w:fill="FFFFFF"/>
        </w:rPr>
        <w:t>Alvalá</w:t>
      </w:r>
      <w:proofErr w:type="spellEnd"/>
      <w:r w:rsidRPr="00C24B1D">
        <w:rPr>
          <w:rFonts w:eastAsia="Times New Roman" w:cs="Arial"/>
          <w:color w:val="222222"/>
          <w:szCs w:val="22"/>
          <w:shd w:val="clear" w:color="auto" w:fill="FFFFFF"/>
        </w:rPr>
        <w:t xml:space="preserve">, R. C., Stenner, C., Pinho, G., Nobre, C. A., ... </w:t>
      </w:r>
      <w:r w:rsidRPr="00C01C9C">
        <w:rPr>
          <w:rFonts w:eastAsia="Times New Roman" w:cs="Arial"/>
          <w:color w:val="222222"/>
          <w:szCs w:val="22"/>
          <w:shd w:val="clear" w:color="auto" w:fill="FFFFFF"/>
        </w:rPr>
        <w:t xml:space="preserve">&amp; Lima, C. O. (2018). </w:t>
      </w:r>
      <w:r w:rsidRPr="00C24B1D">
        <w:rPr>
          <w:rFonts w:eastAsia="Times New Roman" w:cs="Arial"/>
          <w:color w:val="222222"/>
          <w:szCs w:val="22"/>
          <w:shd w:val="clear" w:color="auto" w:fill="FFFFFF"/>
        </w:rPr>
        <w:t>Estimation of exposed population to landslides and floods risk areas in Brazil, on an intra-urban scale. </w:t>
      </w:r>
      <w:r w:rsidRPr="00C24B1D">
        <w:rPr>
          <w:rFonts w:eastAsia="Times New Roman" w:cs="Arial"/>
          <w:i/>
          <w:iCs/>
          <w:color w:val="222222"/>
          <w:szCs w:val="22"/>
        </w:rPr>
        <w:t>International Journal of Disaster Risk Reduction</w:t>
      </w:r>
      <w:r w:rsidRPr="00C24B1D">
        <w:rPr>
          <w:rFonts w:eastAsia="Times New Roman" w:cs="Arial"/>
          <w:color w:val="222222"/>
          <w:szCs w:val="22"/>
          <w:shd w:val="clear" w:color="auto" w:fill="FFFFFF"/>
        </w:rPr>
        <w:t>, </w:t>
      </w:r>
      <w:r w:rsidRPr="00C24B1D">
        <w:rPr>
          <w:rFonts w:eastAsia="Times New Roman" w:cs="Arial"/>
          <w:i/>
          <w:iCs/>
          <w:color w:val="222222"/>
          <w:szCs w:val="22"/>
        </w:rPr>
        <w:t>31</w:t>
      </w:r>
      <w:r w:rsidRPr="00C24B1D">
        <w:rPr>
          <w:rFonts w:eastAsia="Times New Roman" w:cs="Arial"/>
          <w:color w:val="222222"/>
          <w:szCs w:val="22"/>
          <w:shd w:val="clear" w:color="auto" w:fill="FFFFFF"/>
        </w:rPr>
        <w:t>: 449-459.</w:t>
      </w:r>
    </w:p>
    <w:p w14:paraId="7A3A3BCE" w14:textId="77777777" w:rsidR="0026551A" w:rsidRPr="00C24B1D" w:rsidRDefault="0026551A" w:rsidP="008D3DA5">
      <w:pPr>
        <w:rPr>
          <w:color w:val="222222"/>
          <w:szCs w:val="22"/>
          <w:shd w:val="clear" w:color="auto" w:fill="FFFFFF"/>
        </w:rPr>
      </w:pPr>
    </w:p>
    <w:p w14:paraId="27154E0A" w14:textId="77777777" w:rsidR="0026551A" w:rsidRPr="00C24B1D" w:rsidRDefault="0026551A" w:rsidP="008D3DA5">
      <w:pPr>
        <w:rPr>
          <w:rFonts w:eastAsia="Times New Roman"/>
          <w:szCs w:val="22"/>
        </w:rPr>
      </w:pPr>
      <w:r w:rsidRPr="00C24B1D">
        <w:rPr>
          <w:rFonts w:eastAsia="Times New Roman"/>
          <w:color w:val="222222"/>
          <w:szCs w:val="22"/>
          <w:shd w:val="clear" w:color="auto" w:fill="FFFFFF"/>
        </w:rPr>
        <w:t>Johansson, Klara, Lucie Laflamme, and Miriam Eliasson. (2012). "Adolescents’ perceived safety and security in public space—A Swedish focus group study with a gender perspective." </w:t>
      </w:r>
      <w:r w:rsidRPr="00C24B1D">
        <w:rPr>
          <w:rFonts w:eastAsia="Times New Roman"/>
          <w:i/>
          <w:iCs/>
          <w:color w:val="222222"/>
          <w:szCs w:val="22"/>
        </w:rPr>
        <w:t xml:space="preserve">Young </w:t>
      </w:r>
      <w:r w:rsidRPr="00C24B1D">
        <w:rPr>
          <w:rFonts w:eastAsia="Times New Roman"/>
          <w:color w:val="222222"/>
          <w:szCs w:val="22"/>
          <w:shd w:val="clear" w:color="auto" w:fill="FFFFFF"/>
        </w:rPr>
        <w:t>20.1: 69-88.</w:t>
      </w:r>
    </w:p>
    <w:p w14:paraId="775FA760" w14:textId="77777777" w:rsidR="0026551A" w:rsidRPr="00C24B1D" w:rsidRDefault="0026551A" w:rsidP="008D3DA5">
      <w:pPr>
        <w:rPr>
          <w:rFonts w:eastAsia="Times New Roman"/>
          <w:color w:val="222222"/>
          <w:szCs w:val="22"/>
          <w:shd w:val="clear" w:color="auto" w:fill="FFFFFF"/>
        </w:rPr>
      </w:pPr>
    </w:p>
    <w:p w14:paraId="2BA51499" w14:textId="77777777" w:rsidR="0026551A" w:rsidRPr="00C24B1D" w:rsidRDefault="0026551A" w:rsidP="008D3DA5">
      <w:pPr>
        <w:rPr>
          <w:rFonts w:eastAsia="Times New Roman"/>
          <w:color w:val="222222"/>
          <w:szCs w:val="22"/>
          <w:shd w:val="clear" w:color="auto" w:fill="FFFFFF"/>
        </w:rPr>
      </w:pPr>
      <w:r w:rsidRPr="00C24B1D">
        <w:rPr>
          <w:rFonts w:eastAsia="Times New Roman"/>
          <w:color w:val="222222"/>
          <w:szCs w:val="22"/>
          <w:shd w:val="clear" w:color="auto" w:fill="FFFFFF"/>
        </w:rPr>
        <w:t>Park, Sang-Jin, et al. (2018). "Mapping hypothermia death vulnerability in Korea." </w:t>
      </w:r>
      <w:r w:rsidRPr="00C24B1D">
        <w:rPr>
          <w:rFonts w:eastAsia="Times New Roman"/>
          <w:i/>
          <w:iCs/>
          <w:color w:val="222222"/>
          <w:szCs w:val="22"/>
        </w:rPr>
        <w:t>International journal of disaster risk reduction</w:t>
      </w:r>
      <w:r w:rsidRPr="00C24B1D">
        <w:rPr>
          <w:rFonts w:eastAsia="Times New Roman"/>
          <w:color w:val="222222"/>
          <w:szCs w:val="22"/>
          <w:shd w:val="clear" w:color="auto" w:fill="FFFFFF"/>
        </w:rPr>
        <w:t> 31: 668-678.</w:t>
      </w:r>
    </w:p>
    <w:p w14:paraId="7713FBD5" w14:textId="77777777" w:rsidR="0026551A" w:rsidRPr="00C24B1D" w:rsidRDefault="0026551A" w:rsidP="008D3DA5">
      <w:pPr>
        <w:rPr>
          <w:rFonts w:eastAsia="Times New Roman"/>
          <w:color w:val="222222"/>
          <w:szCs w:val="22"/>
          <w:shd w:val="clear" w:color="auto" w:fill="FFFFFF"/>
        </w:rPr>
      </w:pPr>
    </w:p>
    <w:p w14:paraId="7CF95AF9" w14:textId="295E3790" w:rsidR="0026551A" w:rsidRPr="00F439E9" w:rsidRDefault="0026551A" w:rsidP="008D3DA5">
      <w:pPr>
        <w:rPr>
          <w:rFonts w:eastAsia="Times New Roman"/>
          <w:color w:val="222222"/>
          <w:szCs w:val="22"/>
          <w:shd w:val="clear" w:color="auto" w:fill="FFFFFF"/>
          <w:lang w:val="sv-SE"/>
        </w:rPr>
      </w:pPr>
      <w:proofErr w:type="spellStart"/>
      <w:r w:rsidRPr="00C24B1D">
        <w:rPr>
          <w:rFonts w:eastAsia="Times New Roman"/>
          <w:color w:val="222222"/>
          <w:szCs w:val="22"/>
          <w:shd w:val="clear" w:color="auto" w:fill="FFFFFF"/>
        </w:rPr>
        <w:t>Tunström</w:t>
      </w:r>
      <w:proofErr w:type="spellEnd"/>
      <w:r w:rsidRPr="00C24B1D">
        <w:rPr>
          <w:rFonts w:eastAsia="Times New Roman"/>
          <w:color w:val="222222"/>
          <w:szCs w:val="22"/>
          <w:shd w:val="clear" w:color="auto" w:fill="FFFFFF"/>
        </w:rPr>
        <w:t xml:space="preserve">, Moa, and Shinan Wang. (2019). </w:t>
      </w:r>
      <w:r w:rsidRPr="00C24B1D">
        <w:rPr>
          <w:rFonts w:eastAsia="Times New Roman"/>
          <w:i/>
          <w:iCs/>
          <w:color w:val="222222"/>
          <w:szCs w:val="22"/>
        </w:rPr>
        <w:t>The segregated city: A Nordic overview</w:t>
      </w:r>
      <w:r w:rsidRPr="00C24B1D">
        <w:rPr>
          <w:rFonts w:eastAsia="Times New Roman"/>
          <w:color w:val="222222"/>
          <w:szCs w:val="22"/>
          <w:shd w:val="clear" w:color="auto" w:fill="FFFFFF"/>
        </w:rPr>
        <w:t xml:space="preserve">. </w:t>
      </w:r>
      <w:r w:rsidRPr="00F439E9">
        <w:rPr>
          <w:rFonts w:eastAsia="Times New Roman"/>
          <w:color w:val="222222"/>
          <w:szCs w:val="22"/>
          <w:shd w:val="clear" w:color="auto" w:fill="FFFFFF"/>
          <w:lang w:val="sv-SE"/>
        </w:rPr>
        <w:t xml:space="preserve">Nordic Council </w:t>
      </w:r>
      <w:proofErr w:type="spellStart"/>
      <w:r w:rsidRPr="00F439E9">
        <w:rPr>
          <w:rFonts w:eastAsia="Times New Roman"/>
          <w:color w:val="222222"/>
          <w:szCs w:val="22"/>
          <w:shd w:val="clear" w:color="auto" w:fill="FFFFFF"/>
          <w:lang w:val="sv-SE"/>
        </w:rPr>
        <w:t>of</w:t>
      </w:r>
      <w:proofErr w:type="spellEnd"/>
      <w:r w:rsidRPr="00F439E9">
        <w:rPr>
          <w:rFonts w:eastAsia="Times New Roman"/>
          <w:color w:val="222222"/>
          <w:szCs w:val="22"/>
          <w:shd w:val="clear" w:color="auto" w:fill="FFFFFF"/>
          <w:lang w:val="sv-SE"/>
        </w:rPr>
        <w:t xml:space="preserve"> Ministers.</w:t>
      </w:r>
    </w:p>
    <w:p w14:paraId="5EEF6867" w14:textId="218524BE" w:rsidR="00E8123A" w:rsidRPr="00F439E9" w:rsidRDefault="00E8123A" w:rsidP="00F57597">
      <w:pPr>
        <w:rPr>
          <w:szCs w:val="22"/>
          <w:lang w:val="sv-SE"/>
        </w:rPr>
      </w:pPr>
    </w:p>
    <w:p w14:paraId="0BDF4107" w14:textId="1913FA38" w:rsidR="00E8123A" w:rsidRPr="00F439E9" w:rsidRDefault="00E8123A" w:rsidP="00FC2765">
      <w:pPr>
        <w:pStyle w:val="Rubrik2"/>
        <w:rPr>
          <w:lang w:val="sv-SE"/>
        </w:rPr>
      </w:pPr>
      <w:r w:rsidRPr="00F439E9">
        <w:rPr>
          <w:lang w:val="sv-SE"/>
        </w:rPr>
        <w:t xml:space="preserve">Lästips </w:t>
      </w:r>
      <w:r w:rsidR="00BC6C95" w:rsidRPr="00F439E9">
        <w:rPr>
          <w:lang w:val="sv-SE"/>
        </w:rPr>
        <w:t>‘</w:t>
      </w:r>
      <w:proofErr w:type="spellStart"/>
      <w:r w:rsidRPr="00F439E9">
        <w:rPr>
          <w:lang w:val="sv-SE"/>
        </w:rPr>
        <w:t>RSA</w:t>
      </w:r>
      <w:proofErr w:type="spellEnd"/>
      <w:r w:rsidR="005D060B" w:rsidRPr="00F439E9">
        <w:rPr>
          <w:lang w:val="sv-SE"/>
        </w:rPr>
        <w:t xml:space="preserve">, </w:t>
      </w:r>
      <w:r w:rsidRPr="00F439E9">
        <w:rPr>
          <w:lang w:val="sv-SE"/>
        </w:rPr>
        <w:t>beredskap</w:t>
      </w:r>
      <w:r w:rsidR="005D060B" w:rsidRPr="00F439E9">
        <w:rPr>
          <w:lang w:val="sv-SE"/>
        </w:rPr>
        <w:t xml:space="preserve"> och säkerhet</w:t>
      </w:r>
      <w:r w:rsidR="00BC6C95" w:rsidRPr="00F439E9">
        <w:rPr>
          <w:lang w:val="sv-SE"/>
        </w:rPr>
        <w:t>’</w:t>
      </w:r>
    </w:p>
    <w:p w14:paraId="4AC81528" w14:textId="77777777" w:rsidR="00BF4518" w:rsidRPr="00F439E9" w:rsidRDefault="00BF4518" w:rsidP="00BF4518">
      <w:pPr>
        <w:rPr>
          <w:lang w:val="sv-SE"/>
        </w:rPr>
      </w:pPr>
    </w:p>
    <w:p w14:paraId="42E4CF71" w14:textId="03A8BBAC" w:rsidR="004D0C29" w:rsidRPr="00F439E9" w:rsidRDefault="004D0C29" w:rsidP="00BF4518">
      <w:pPr>
        <w:rPr>
          <w:lang w:val="sv-SE"/>
        </w:rPr>
      </w:pPr>
      <w:r w:rsidRPr="00F439E9">
        <w:rPr>
          <w:lang w:val="sv-SE"/>
        </w:rPr>
        <w:t xml:space="preserve">MSB, Vägledning - Statliga myndigheters </w:t>
      </w:r>
      <w:proofErr w:type="spellStart"/>
      <w:r w:rsidRPr="00F439E9">
        <w:rPr>
          <w:lang w:val="sv-SE"/>
        </w:rPr>
        <w:t>RSA</w:t>
      </w:r>
      <w:proofErr w:type="spellEnd"/>
      <w:r w:rsidRPr="00F439E9">
        <w:rPr>
          <w:lang w:val="sv-SE"/>
        </w:rPr>
        <w:t>- redovisning 2022, MSB1457 – juli 2022, </w:t>
      </w:r>
      <w:hyperlink r:id="rId26" w:history="1">
        <w:r w:rsidRPr="00F439E9">
          <w:rPr>
            <w:rStyle w:val="Hyperlnk"/>
            <w:lang w:val="sv-SE"/>
          </w:rPr>
          <w:t>https://rib.msb.se/filer/pdf/30043.pdf</w:t>
        </w:r>
      </w:hyperlink>
      <w:r w:rsidRPr="00F439E9">
        <w:rPr>
          <w:lang w:val="sv-SE"/>
        </w:rPr>
        <w:t xml:space="preserve"> </w:t>
      </w:r>
    </w:p>
    <w:p w14:paraId="0DCF3C33" w14:textId="77777777" w:rsidR="004D0C29" w:rsidRPr="00F439E9" w:rsidRDefault="004D0C29" w:rsidP="00BF4518">
      <w:pPr>
        <w:rPr>
          <w:lang w:val="sv-SE"/>
        </w:rPr>
      </w:pPr>
    </w:p>
    <w:p w14:paraId="7D883DA4" w14:textId="3ED4804C" w:rsidR="000D5A94" w:rsidRPr="00F439E9" w:rsidRDefault="00F75826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MSB, </w:t>
      </w:r>
      <w:r w:rsidR="000D5A94" w:rsidRPr="00F439E9">
        <w:rPr>
          <w:szCs w:val="22"/>
          <w:lang w:val="sv-SE"/>
        </w:rPr>
        <w:t xml:space="preserve">Nationell risk- och </w:t>
      </w:r>
      <w:proofErr w:type="spellStart"/>
      <w:r w:rsidR="000D5A94" w:rsidRPr="00F439E9">
        <w:rPr>
          <w:szCs w:val="22"/>
          <w:lang w:val="sv-SE"/>
        </w:rPr>
        <w:t>förmågebedömning</w:t>
      </w:r>
      <w:proofErr w:type="spellEnd"/>
      <w:r w:rsidR="000D5A94" w:rsidRPr="00F439E9">
        <w:rPr>
          <w:szCs w:val="22"/>
          <w:lang w:val="sv-SE"/>
        </w:rPr>
        <w:t xml:space="preserve"> 2019, MSB1392</w:t>
      </w:r>
      <w:r w:rsidR="004D0C29" w:rsidRPr="00F439E9">
        <w:rPr>
          <w:szCs w:val="22"/>
          <w:lang w:val="sv-SE"/>
        </w:rPr>
        <w:t xml:space="preserve"> </w:t>
      </w:r>
    </w:p>
    <w:p w14:paraId="26F67DFA" w14:textId="1529CD5C" w:rsidR="000D5A94" w:rsidRPr="00F439E9" w:rsidRDefault="000D5A94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 </w:t>
      </w:r>
    </w:p>
    <w:p w14:paraId="594B94DE" w14:textId="77777777" w:rsidR="000D5A94" w:rsidRPr="00F439E9" w:rsidRDefault="000D5A94" w:rsidP="000D5A94">
      <w:pPr>
        <w:rPr>
          <w:szCs w:val="22"/>
          <w:lang w:val="sv-SE"/>
        </w:rPr>
      </w:pPr>
      <w:proofErr w:type="spellStart"/>
      <w:r w:rsidRPr="00F439E9">
        <w:rPr>
          <w:i/>
          <w:iCs/>
          <w:szCs w:val="22"/>
          <w:lang w:val="sv-SE"/>
        </w:rPr>
        <w:t>Örebro</w:t>
      </w:r>
      <w:proofErr w:type="spellEnd"/>
      <w:r w:rsidRPr="00F439E9">
        <w:rPr>
          <w:i/>
          <w:iCs/>
          <w:szCs w:val="22"/>
          <w:lang w:val="sv-SE"/>
        </w:rPr>
        <w:t xml:space="preserve"> </w:t>
      </w:r>
      <w:proofErr w:type="spellStart"/>
      <w:r w:rsidRPr="00F439E9">
        <w:rPr>
          <w:i/>
          <w:iCs/>
          <w:szCs w:val="22"/>
          <w:lang w:val="sv-SE"/>
        </w:rPr>
        <w:t>läns</w:t>
      </w:r>
      <w:proofErr w:type="spellEnd"/>
      <w:r w:rsidRPr="00F439E9">
        <w:rPr>
          <w:i/>
          <w:iCs/>
          <w:szCs w:val="22"/>
          <w:lang w:val="sv-SE"/>
        </w:rPr>
        <w:t xml:space="preserve"> gemensamma </w:t>
      </w:r>
      <w:proofErr w:type="spellStart"/>
      <w:r w:rsidRPr="00F439E9">
        <w:rPr>
          <w:i/>
          <w:iCs/>
          <w:szCs w:val="22"/>
          <w:lang w:val="sv-SE"/>
        </w:rPr>
        <w:t>stöd</w:t>
      </w:r>
      <w:proofErr w:type="spellEnd"/>
      <w:r w:rsidRPr="00F439E9">
        <w:rPr>
          <w:i/>
          <w:iCs/>
          <w:szCs w:val="22"/>
          <w:lang w:val="sv-SE"/>
        </w:rPr>
        <w:t xml:space="preserve"> </w:t>
      </w:r>
      <w:proofErr w:type="spellStart"/>
      <w:r w:rsidRPr="00F439E9">
        <w:rPr>
          <w:i/>
          <w:iCs/>
          <w:szCs w:val="22"/>
          <w:lang w:val="sv-SE"/>
        </w:rPr>
        <w:t>för</w:t>
      </w:r>
      <w:proofErr w:type="spellEnd"/>
      <w:r w:rsidRPr="00F439E9">
        <w:rPr>
          <w:i/>
          <w:iCs/>
          <w:szCs w:val="22"/>
          <w:lang w:val="sv-SE"/>
        </w:rPr>
        <w:t xml:space="preserve"> redovisning av risk- och </w:t>
      </w:r>
      <w:proofErr w:type="spellStart"/>
      <w:r w:rsidRPr="00F439E9">
        <w:rPr>
          <w:i/>
          <w:iCs/>
          <w:szCs w:val="22"/>
          <w:lang w:val="sv-SE"/>
        </w:rPr>
        <w:t>sårbarhetsanalyser</w:t>
      </w:r>
      <w:proofErr w:type="spellEnd"/>
      <w:r w:rsidRPr="00F439E9">
        <w:rPr>
          <w:szCs w:val="22"/>
          <w:lang w:val="sv-SE"/>
        </w:rPr>
        <w:t>, p-nr 2019:10, dnr: 451-1390-2019</w:t>
      </w:r>
    </w:p>
    <w:p w14:paraId="5CA11057" w14:textId="77777777" w:rsidR="000D5A94" w:rsidRPr="00F439E9" w:rsidRDefault="000D5A94" w:rsidP="000D5A94">
      <w:pPr>
        <w:rPr>
          <w:szCs w:val="22"/>
          <w:lang w:val="sv-SE"/>
        </w:rPr>
      </w:pPr>
    </w:p>
    <w:p w14:paraId="29FCCE7F" w14:textId="77777777" w:rsidR="000D5A94" w:rsidRPr="00F439E9" w:rsidRDefault="000D5A94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MSB, </w:t>
      </w:r>
      <w:r w:rsidRPr="00F439E9">
        <w:rPr>
          <w:i/>
          <w:iCs/>
          <w:szCs w:val="22"/>
          <w:lang w:val="sv-SE"/>
        </w:rPr>
        <w:t xml:space="preserve">Systematiskt arbete med skydd av </w:t>
      </w:r>
      <w:proofErr w:type="spellStart"/>
      <w:r w:rsidRPr="00F439E9">
        <w:rPr>
          <w:i/>
          <w:iCs/>
          <w:szCs w:val="22"/>
          <w:lang w:val="sv-SE"/>
        </w:rPr>
        <w:t>samhällsviktig</w:t>
      </w:r>
      <w:proofErr w:type="spellEnd"/>
      <w:r w:rsidRPr="00F439E9">
        <w:rPr>
          <w:i/>
          <w:iCs/>
          <w:szCs w:val="22"/>
          <w:lang w:val="sv-SE"/>
        </w:rPr>
        <w:t xml:space="preserve"> verksamhet</w:t>
      </w:r>
      <w:r w:rsidRPr="00F439E9">
        <w:rPr>
          <w:szCs w:val="22"/>
          <w:lang w:val="sv-SE"/>
        </w:rPr>
        <w:t xml:space="preserve">, MSB932 - reviderad april 2018, ISBN: 978-91-7383-823-8, </w:t>
      </w:r>
      <w:hyperlink r:id="rId27" w:history="1">
        <w:r w:rsidRPr="00F439E9">
          <w:rPr>
            <w:rStyle w:val="Hyperlnk"/>
            <w:szCs w:val="22"/>
            <w:lang w:val="sv-SE"/>
          </w:rPr>
          <w:t>https://rib.msb.se/filer/pdf/27978.pdf</w:t>
        </w:r>
      </w:hyperlink>
      <w:r w:rsidRPr="00F439E9">
        <w:rPr>
          <w:szCs w:val="22"/>
          <w:lang w:val="sv-SE"/>
        </w:rPr>
        <w:t xml:space="preserve"> </w:t>
      </w:r>
    </w:p>
    <w:p w14:paraId="628A9F66" w14:textId="77777777" w:rsidR="000D5A94" w:rsidRPr="00F439E9" w:rsidRDefault="000D5A94" w:rsidP="000D5A94">
      <w:pPr>
        <w:rPr>
          <w:szCs w:val="22"/>
          <w:lang w:val="sv-SE"/>
        </w:rPr>
      </w:pPr>
    </w:p>
    <w:p w14:paraId="7B11EDE8" w14:textId="77777777" w:rsidR="000D5A94" w:rsidRPr="00F439E9" w:rsidRDefault="000D5A94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>MSB:s stödverktyg kring kontinuitetshantering:</w:t>
      </w:r>
    </w:p>
    <w:p w14:paraId="79E0E606" w14:textId="77777777" w:rsidR="000D5A94" w:rsidRPr="00F439E9" w:rsidRDefault="000D5A94" w:rsidP="000D5A94">
      <w:pPr>
        <w:rPr>
          <w:szCs w:val="22"/>
          <w:lang w:val="sv-SE"/>
        </w:rPr>
      </w:pPr>
      <w:hyperlink r:id="rId28" w:history="1">
        <w:r w:rsidRPr="00F439E9">
          <w:rPr>
            <w:rStyle w:val="Hyperlnk"/>
            <w:szCs w:val="22"/>
            <w:lang w:val="sv-SE"/>
          </w:rPr>
          <w:t>https://www.msb.se/kontinuitetshantering</w:t>
        </w:r>
      </w:hyperlink>
      <w:r w:rsidRPr="00F439E9">
        <w:rPr>
          <w:szCs w:val="22"/>
          <w:lang w:val="sv-SE"/>
        </w:rPr>
        <w:t xml:space="preserve">  </w:t>
      </w:r>
    </w:p>
    <w:p w14:paraId="43E5610D" w14:textId="77777777" w:rsidR="000D5A94" w:rsidRPr="00F439E9" w:rsidRDefault="000D5A94" w:rsidP="000D5A94">
      <w:pPr>
        <w:rPr>
          <w:szCs w:val="22"/>
          <w:lang w:val="sv-SE"/>
        </w:rPr>
      </w:pPr>
    </w:p>
    <w:p w14:paraId="51C906B7" w14:textId="77777777" w:rsidR="000D5A94" w:rsidRPr="00F439E9" w:rsidRDefault="000D5A94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Lag (1992:1403) om </w:t>
      </w:r>
      <w:proofErr w:type="spellStart"/>
      <w:r w:rsidRPr="00F439E9">
        <w:rPr>
          <w:szCs w:val="22"/>
          <w:lang w:val="sv-SE"/>
        </w:rPr>
        <w:t>totalförsvar</w:t>
      </w:r>
      <w:proofErr w:type="spellEnd"/>
      <w:r w:rsidRPr="00F439E9">
        <w:rPr>
          <w:szCs w:val="22"/>
          <w:lang w:val="sv-SE"/>
        </w:rPr>
        <w:t xml:space="preserve"> och </w:t>
      </w:r>
      <w:proofErr w:type="spellStart"/>
      <w:r w:rsidRPr="00F439E9">
        <w:rPr>
          <w:szCs w:val="22"/>
          <w:lang w:val="sv-SE"/>
        </w:rPr>
        <w:t>höjd</w:t>
      </w:r>
      <w:proofErr w:type="spellEnd"/>
      <w:r w:rsidRPr="00F439E9">
        <w:rPr>
          <w:szCs w:val="22"/>
          <w:lang w:val="sv-SE"/>
        </w:rPr>
        <w:t xml:space="preserve"> beredskap, </w:t>
      </w:r>
    </w:p>
    <w:p w14:paraId="28136FE7" w14:textId="77777777" w:rsidR="000D5A94" w:rsidRPr="00F439E9" w:rsidRDefault="000D5A94" w:rsidP="000D5A94">
      <w:pPr>
        <w:rPr>
          <w:szCs w:val="22"/>
          <w:lang w:val="sv-SE"/>
        </w:rPr>
      </w:pPr>
      <w:hyperlink r:id="rId29" w:history="1">
        <w:r w:rsidRPr="00F439E9">
          <w:rPr>
            <w:rStyle w:val="Hyperlnk"/>
            <w:szCs w:val="22"/>
            <w:lang w:val="sv-SE"/>
          </w:rPr>
          <w:t>https://www.riksdagen.se/sv/dokument-lagar/dokument/svensk- forfattningssamling/lag-19921403-om-totalforsvar-och-hojd_sfs-1992-1403</w:t>
        </w:r>
      </w:hyperlink>
      <w:r w:rsidRPr="00F439E9">
        <w:rPr>
          <w:szCs w:val="22"/>
          <w:lang w:val="sv-SE"/>
        </w:rPr>
        <w:t xml:space="preserve"> </w:t>
      </w:r>
    </w:p>
    <w:p w14:paraId="0CB8A718" w14:textId="77777777" w:rsidR="000D5A94" w:rsidRPr="00F439E9" w:rsidRDefault="000D5A94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  </w:t>
      </w:r>
    </w:p>
    <w:p w14:paraId="22EF03B6" w14:textId="77777777" w:rsidR="000D5A94" w:rsidRPr="00F439E9" w:rsidRDefault="000D5A94" w:rsidP="000D5A94">
      <w:pPr>
        <w:rPr>
          <w:szCs w:val="22"/>
          <w:lang w:val="sv-SE"/>
        </w:rPr>
      </w:pPr>
      <w:proofErr w:type="spellStart"/>
      <w:r w:rsidRPr="00F439E9">
        <w:rPr>
          <w:szCs w:val="22"/>
          <w:lang w:val="sv-SE"/>
        </w:rPr>
        <w:t>Förordning</w:t>
      </w:r>
      <w:proofErr w:type="spellEnd"/>
      <w:r w:rsidRPr="00F439E9">
        <w:rPr>
          <w:szCs w:val="22"/>
          <w:lang w:val="sv-SE"/>
        </w:rPr>
        <w:t xml:space="preserve"> (2015:1053) om </w:t>
      </w:r>
      <w:proofErr w:type="spellStart"/>
      <w:r w:rsidRPr="00F439E9">
        <w:rPr>
          <w:szCs w:val="22"/>
          <w:lang w:val="sv-SE"/>
        </w:rPr>
        <w:t>totalförsvar</w:t>
      </w:r>
      <w:proofErr w:type="spellEnd"/>
      <w:r w:rsidRPr="00F439E9">
        <w:rPr>
          <w:szCs w:val="22"/>
          <w:lang w:val="sv-SE"/>
        </w:rPr>
        <w:t xml:space="preserve"> och </w:t>
      </w:r>
      <w:proofErr w:type="spellStart"/>
      <w:r w:rsidRPr="00F439E9">
        <w:rPr>
          <w:szCs w:val="22"/>
          <w:lang w:val="sv-SE"/>
        </w:rPr>
        <w:t>höjd</w:t>
      </w:r>
      <w:proofErr w:type="spellEnd"/>
      <w:r w:rsidRPr="00F439E9">
        <w:rPr>
          <w:szCs w:val="22"/>
          <w:lang w:val="sv-SE"/>
        </w:rPr>
        <w:t xml:space="preserve"> beredskap, </w:t>
      </w:r>
    </w:p>
    <w:p w14:paraId="0831A0E0" w14:textId="54C7C422" w:rsidR="000D5A94" w:rsidRPr="00F439E9" w:rsidRDefault="000D5A94" w:rsidP="000D5A94">
      <w:pPr>
        <w:rPr>
          <w:szCs w:val="22"/>
          <w:lang w:val="sv-SE"/>
        </w:rPr>
      </w:pPr>
      <w:hyperlink r:id="rId30" w:history="1">
        <w:r w:rsidRPr="00F439E9">
          <w:rPr>
            <w:rStyle w:val="Hyperlnk"/>
            <w:szCs w:val="22"/>
            <w:lang w:val="sv-SE"/>
          </w:rPr>
          <w:t>https://www.riksdagen.se/sv/dokument-lagar/dokument/svensk- forfattningssamling/forordning-20151053-om-totalforsvar-och-hojd_sfs-2015-1053</w:t>
        </w:r>
      </w:hyperlink>
      <w:r w:rsidRPr="00F439E9">
        <w:rPr>
          <w:szCs w:val="22"/>
          <w:lang w:val="sv-SE"/>
        </w:rPr>
        <w:t xml:space="preserve"> </w:t>
      </w:r>
    </w:p>
    <w:p w14:paraId="4D8AE5AA" w14:textId="77777777" w:rsidR="000D5A94" w:rsidRPr="00F439E9" w:rsidRDefault="000D5A94" w:rsidP="000D5A94">
      <w:pPr>
        <w:rPr>
          <w:szCs w:val="22"/>
          <w:lang w:val="sv-SE"/>
        </w:rPr>
      </w:pPr>
    </w:p>
    <w:p w14:paraId="64998472" w14:textId="77777777" w:rsidR="000D5A94" w:rsidRPr="00F439E9" w:rsidRDefault="000D5A94" w:rsidP="000D5A94">
      <w:pPr>
        <w:rPr>
          <w:szCs w:val="22"/>
          <w:lang w:val="sv-SE"/>
        </w:rPr>
      </w:pPr>
      <w:proofErr w:type="spellStart"/>
      <w:r w:rsidRPr="00F439E9">
        <w:rPr>
          <w:szCs w:val="22"/>
          <w:lang w:val="sv-SE"/>
        </w:rPr>
        <w:lastRenderedPageBreak/>
        <w:t>Förordning</w:t>
      </w:r>
      <w:proofErr w:type="spellEnd"/>
      <w:r w:rsidRPr="00F439E9">
        <w:rPr>
          <w:szCs w:val="22"/>
          <w:lang w:val="sv-SE"/>
        </w:rPr>
        <w:t xml:space="preserve"> (2015:1052) om krisberedskap och bevakningsansvariga myndigheters </w:t>
      </w:r>
      <w:proofErr w:type="spellStart"/>
      <w:r w:rsidRPr="00F439E9">
        <w:rPr>
          <w:szCs w:val="22"/>
          <w:lang w:val="sv-SE"/>
        </w:rPr>
        <w:t>åtgärder</w:t>
      </w:r>
      <w:proofErr w:type="spellEnd"/>
      <w:r w:rsidRPr="00F439E9">
        <w:rPr>
          <w:szCs w:val="22"/>
          <w:lang w:val="sv-SE"/>
        </w:rPr>
        <w:t xml:space="preserve"> vid </w:t>
      </w:r>
      <w:proofErr w:type="spellStart"/>
      <w:r w:rsidRPr="00F439E9">
        <w:rPr>
          <w:szCs w:val="22"/>
          <w:lang w:val="sv-SE"/>
        </w:rPr>
        <w:t>höjd</w:t>
      </w:r>
      <w:proofErr w:type="spellEnd"/>
      <w:r w:rsidRPr="00F439E9">
        <w:rPr>
          <w:szCs w:val="22"/>
          <w:lang w:val="sv-SE"/>
        </w:rPr>
        <w:t xml:space="preserve"> beredskap, </w:t>
      </w:r>
      <w:hyperlink r:id="rId31" w:history="1">
        <w:r w:rsidRPr="00F439E9">
          <w:rPr>
            <w:rStyle w:val="Hyperlnk"/>
            <w:szCs w:val="22"/>
            <w:lang w:val="sv-SE"/>
          </w:rPr>
          <w:t>https://www.riksdagen.se/sv/dokument-lagar/dokument/svensk- forfattningssamling/forordning-20151052-om-krisberedskap-och_sfs-2015-1052</w:t>
        </w:r>
      </w:hyperlink>
      <w:r w:rsidRPr="00F439E9">
        <w:rPr>
          <w:szCs w:val="22"/>
          <w:lang w:val="sv-SE"/>
        </w:rPr>
        <w:t xml:space="preserve"> </w:t>
      </w:r>
    </w:p>
    <w:p w14:paraId="172D1B15" w14:textId="14484BA8" w:rsidR="000D5A94" w:rsidRPr="00F439E9" w:rsidRDefault="000D5A94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  </w:t>
      </w:r>
    </w:p>
    <w:p w14:paraId="1768FAC4" w14:textId="6390B2E0" w:rsidR="00483F68" w:rsidRPr="00F439E9" w:rsidRDefault="00483F68" w:rsidP="00483F68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Myndigheten </w:t>
      </w:r>
      <w:proofErr w:type="spellStart"/>
      <w:r w:rsidRPr="00F439E9">
        <w:rPr>
          <w:szCs w:val="22"/>
          <w:lang w:val="sv-SE"/>
        </w:rPr>
        <w:t>för</w:t>
      </w:r>
      <w:proofErr w:type="spellEnd"/>
      <w:r w:rsidRPr="00F439E9">
        <w:rPr>
          <w:szCs w:val="22"/>
          <w:lang w:val="sv-SE"/>
        </w:rPr>
        <w:t xml:space="preserve"> </w:t>
      </w:r>
      <w:proofErr w:type="spellStart"/>
      <w:r w:rsidRPr="00F439E9">
        <w:rPr>
          <w:szCs w:val="22"/>
          <w:lang w:val="sv-SE"/>
        </w:rPr>
        <w:t>samhällsskydd</w:t>
      </w:r>
      <w:proofErr w:type="spellEnd"/>
      <w:r w:rsidRPr="00F439E9">
        <w:rPr>
          <w:szCs w:val="22"/>
          <w:lang w:val="sv-SE"/>
        </w:rPr>
        <w:t xml:space="preserve"> och beredskaps </w:t>
      </w:r>
      <w:proofErr w:type="spellStart"/>
      <w:r w:rsidRPr="00F439E9">
        <w:rPr>
          <w:szCs w:val="22"/>
          <w:lang w:val="sv-SE"/>
        </w:rPr>
        <w:t>föreskrifter</w:t>
      </w:r>
      <w:proofErr w:type="spellEnd"/>
      <w:r w:rsidRPr="00F439E9">
        <w:rPr>
          <w:szCs w:val="22"/>
          <w:lang w:val="sv-SE"/>
        </w:rPr>
        <w:t xml:space="preserve"> om statliga myndigheters risk- och </w:t>
      </w:r>
      <w:proofErr w:type="spellStart"/>
      <w:r w:rsidRPr="00F439E9">
        <w:rPr>
          <w:szCs w:val="22"/>
          <w:lang w:val="sv-SE"/>
        </w:rPr>
        <w:t>sårbarhetsanalyser</w:t>
      </w:r>
      <w:proofErr w:type="spellEnd"/>
      <w:r w:rsidRPr="00F439E9">
        <w:rPr>
          <w:szCs w:val="22"/>
          <w:lang w:val="sv-SE"/>
        </w:rPr>
        <w:t xml:space="preserve">, </w:t>
      </w:r>
      <w:proofErr w:type="spellStart"/>
      <w:r w:rsidRPr="00F439E9">
        <w:rPr>
          <w:szCs w:val="22"/>
          <w:lang w:val="sv-SE"/>
        </w:rPr>
        <w:t>MSBFS</w:t>
      </w:r>
      <w:proofErr w:type="spellEnd"/>
      <w:r w:rsidRPr="00F439E9">
        <w:rPr>
          <w:szCs w:val="22"/>
          <w:lang w:val="sv-SE"/>
        </w:rPr>
        <w:t xml:space="preserve"> 2016:7, </w:t>
      </w:r>
      <w:hyperlink r:id="rId32" w:history="1">
        <w:r w:rsidR="003A0349" w:rsidRPr="00F439E9">
          <w:rPr>
            <w:rStyle w:val="Hyperlnk"/>
            <w:szCs w:val="22"/>
            <w:lang w:val="sv-SE"/>
          </w:rPr>
          <w:t>https://www.msb.se/contentassets/1c4dbd86270049cbb3fef7113dc4745d/foreksrifter-myndigheter-rsa.pdf</w:t>
        </w:r>
      </w:hyperlink>
      <w:proofErr w:type="gramStart"/>
      <w:r w:rsidR="003A0349" w:rsidRPr="00F439E9">
        <w:rPr>
          <w:szCs w:val="22"/>
          <w:lang w:val="sv-SE"/>
        </w:rPr>
        <w:t xml:space="preserve"> </w:t>
      </w:r>
      <w:r w:rsidRPr="00F439E9">
        <w:rPr>
          <w:szCs w:val="22"/>
          <w:lang w:val="sv-SE"/>
        </w:rPr>
        <w:t>  (</w:t>
      </w:r>
      <w:proofErr w:type="spellStart"/>
      <w:proofErr w:type="gramEnd"/>
      <w:r w:rsidRPr="00F439E9">
        <w:rPr>
          <w:szCs w:val="22"/>
          <w:lang w:val="sv-SE"/>
        </w:rPr>
        <w:t>gäller</w:t>
      </w:r>
      <w:proofErr w:type="spellEnd"/>
      <w:r w:rsidRPr="00F439E9">
        <w:rPr>
          <w:szCs w:val="22"/>
          <w:lang w:val="sv-SE"/>
        </w:rPr>
        <w:t xml:space="preserve"> </w:t>
      </w:r>
      <w:proofErr w:type="spellStart"/>
      <w:r w:rsidRPr="00F439E9">
        <w:rPr>
          <w:szCs w:val="22"/>
          <w:lang w:val="sv-SE"/>
        </w:rPr>
        <w:t>ocksa</w:t>
      </w:r>
      <w:proofErr w:type="spellEnd"/>
      <w:r w:rsidRPr="00F439E9">
        <w:rPr>
          <w:szCs w:val="22"/>
          <w:lang w:val="sv-SE"/>
        </w:rPr>
        <w:t xml:space="preserve">̊ </w:t>
      </w:r>
      <w:proofErr w:type="spellStart"/>
      <w:r w:rsidRPr="00F439E9">
        <w:rPr>
          <w:szCs w:val="22"/>
          <w:lang w:val="sv-SE"/>
        </w:rPr>
        <w:t>länsstyrelser</w:t>
      </w:r>
      <w:proofErr w:type="spellEnd"/>
      <w:r w:rsidRPr="00F439E9">
        <w:rPr>
          <w:szCs w:val="22"/>
          <w:lang w:val="sv-SE"/>
        </w:rPr>
        <w:t>)</w:t>
      </w:r>
    </w:p>
    <w:p w14:paraId="7CF5FB29" w14:textId="77777777" w:rsidR="00483F68" w:rsidRPr="00F439E9" w:rsidRDefault="00483F68" w:rsidP="00483F68">
      <w:pPr>
        <w:rPr>
          <w:szCs w:val="22"/>
          <w:lang w:val="sv-SE"/>
        </w:rPr>
      </w:pPr>
    </w:p>
    <w:p w14:paraId="5D7F1296" w14:textId="308BB3B7" w:rsidR="000D5A94" w:rsidRPr="00F439E9" w:rsidRDefault="00483F68" w:rsidP="00483F68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Myndigheten </w:t>
      </w:r>
      <w:proofErr w:type="spellStart"/>
      <w:r w:rsidRPr="00F439E9">
        <w:rPr>
          <w:szCs w:val="22"/>
          <w:lang w:val="sv-SE"/>
        </w:rPr>
        <w:t>för</w:t>
      </w:r>
      <w:proofErr w:type="spellEnd"/>
      <w:r w:rsidRPr="00F439E9">
        <w:rPr>
          <w:szCs w:val="22"/>
          <w:lang w:val="sv-SE"/>
        </w:rPr>
        <w:t xml:space="preserve"> </w:t>
      </w:r>
      <w:proofErr w:type="spellStart"/>
      <w:r w:rsidRPr="00F439E9">
        <w:rPr>
          <w:szCs w:val="22"/>
          <w:lang w:val="sv-SE"/>
        </w:rPr>
        <w:t>samhällsskydd</w:t>
      </w:r>
      <w:proofErr w:type="spellEnd"/>
      <w:r w:rsidRPr="00F439E9">
        <w:rPr>
          <w:szCs w:val="22"/>
          <w:lang w:val="sv-SE"/>
        </w:rPr>
        <w:t xml:space="preserve"> och beredskaps </w:t>
      </w:r>
      <w:proofErr w:type="spellStart"/>
      <w:r w:rsidRPr="00F439E9">
        <w:rPr>
          <w:szCs w:val="22"/>
          <w:lang w:val="sv-SE"/>
        </w:rPr>
        <w:t>föreskrifter</w:t>
      </w:r>
      <w:proofErr w:type="spellEnd"/>
      <w:r w:rsidRPr="00F439E9">
        <w:rPr>
          <w:szCs w:val="22"/>
          <w:lang w:val="sv-SE"/>
        </w:rPr>
        <w:t xml:space="preserve"> om landstings risk- och </w:t>
      </w:r>
      <w:proofErr w:type="spellStart"/>
      <w:r w:rsidRPr="00F439E9">
        <w:rPr>
          <w:szCs w:val="22"/>
          <w:lang w:val="sv-SE"/>
        </w:rPr>
        <w:t>sårbarhetsanalyser</w:t>
      </w:r>
      <w:proofErr w:type="spellEnd"/>
      <w:r w:rsidRPr="00F439E9">
        <w:rPr>
          <w:szCs w:val="22"/>
          <w:lang w:val="sv-SE"/>
        </w:rPr>
        <w:t xml:space="preserve">, </w:t>
      </w:r>
      <w:proofErr w:type="spellStart"/>
      <w:r w:rsidRPr="00F439E9">
        <w:rPr>
          <w:szCs w:val="22"/>
          <w:lang w:val="sv-SE"/>
        </w:rPr>
        <w:t>MSBFS</w:t>
      </w:r>
      <w:proofErr w:type="spellEnd"/>
      <w:r w:rsidRPr="00F439E9">
        <w:rPr>
          <w:szCs w:val="22"/>
          <w:lang w:val="sv-SE"/>
        </w:rPr>
        <w:t xml:space="preserve"> 2015:4 </w:t>
      </w:r>
      <w:hyperlink r:id="rId33" w:history="1">
        <w:r w:rsidR="003A0349" w:rsidRPr="00F439E9">
          <w:rPr>
            <w:rStyle w:val="Hyperlnk"/>
            <w:szCs w:val="22"/>
            <w:lang w:val="sv-SE"/>
          </w:rPr>
          <w:t>https://www.msb.se/contentassets/69ade352aed24346a34883ed52f9c46b/foreskrifter-landstings-rsa.pdf</w:t>
        </w:r>
      </w:hyperlink>
      <w:r w:rsidR="003A0349" w:rsidRPr="00F439E9">
        <w:rPr>
          <w:szCs w:val="22"/>
          <w:lang w:val="sv-SE"/>
        </w:rPr>
        <w:t xml:space="preserve"> </w:t>
      </w:r>
    </w:p>
    <w:p w14:paraId="6EF8E393" w14:textId="77777777" w:rsidR="000D5A94" w:rsidRPr="00F439E9" w:rsidRDefault="000D5A94" w:rsidP="000D5A94">
      <w:pPr>
        <w:rPr>
          <w:szCs w:val="22"/>
          <w:lang w:val="sv-SE"/>
        </w:rPr>
      </w:pPr>
    </w:p>
    <w:p w14:paraId="5D3F6B7F" w14:textId="77777777" w:rsidR="000D5A94" w:rsidRPr="00F439E9" w:rsidRDefault="000D5A94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>Försvarsmakten och MSB, Sverige kommer att möta utmaningarna: Gemensamma grunder (grundsyn) för en sammanhängande planering för totalförsvaret, FM2016-</w:t>
      </w:r>
      <w:proofErr w:type="gramStart"/>
      <w:r w:rsidRPr="00F439E9">
        <w:rPr>
          <w:szCs w:val="22"/>
          <w:lang w:val="sv-SE"/>
        </w:rPr>
        <w:t>13584</w:t>
      </w:r>
      <w:proofErr w:type="gramEnd"/>
      <w:r w:rsidRPr="00F439E9">
        <w:rPr>
          <w:szCs w:val="22"/>
          <w:lang w:val="sv-SE"/>
        </w:rPr>
        <w:t xml:space="preserve">:3, </w:t>
      </w:r>
      <w:hyperlink r:id="rId34" w:history="1">
        <w:r w:rsidRPr="00F439E9">
          <w:rPr>
            <w:rStyle w:val="Hyperlnk"/>
            <w:szCs w:val="22"/>
            <w:lang w:val="sv-SE"/>
          </w:rPr>
          <w:t>https://www.msb.se/contentassets/f1298afdc0b1489eb4262d8ccbb63c86/sverige-kommer-att-mota-utmaningarna-2016-06-10.pdf</w:t>
        </w:r>
      </w:hyperlink>
      <w:r w:rsidRPr="00F439E9">
        <w:rPr>
          <w:szCs w:val="22"/>
          <w:lang w:val="sv-SE"/>
        </w:rPr>
        <w:t xml:space="preserve"> </w:t>
      </w:r>
    </w:p>
    <w:p w14:paraId="650BD2F5" w14:textId="77777777" w:rsidR="000D5A94" w:rsidRPr="00F439E9" w:rsidRDefault="000D5A94" w:rsidP="000D5A94">
      <w:pPr>
        <w:rPr>
          <w:szCs w:val="22"/>
          <w:lang w:val="sv-SE"/>
        </w:rPr>
      </w:pPr>
    </w:p>
    <w:p w14:paraId="11A8E975" w14:textId="77777777" w:rsidR="000D5A94" w:rsidRPr="00F439E9" w:rsidRDefault="000D5A94" w:rsidP="000D5A94">
      <w:pPr>
        <w:rPr>
          <w:szCs w:val="22"/>
          <w:lang w:val="sv-SE"/>
        </w:rPr>
      </w:pPr>
      <w:r w:rsidRPr="00F439E9">
        <w:rPr>
          <w:szCs w:val="22"/>
          <w:lang w:val="sv-SE"/>
        </w:rPr>
        <w:t>Försvarsmakten och MSB, Öppen sammanfattning av Försvarsmaktens och MSB:s redovisning av regeringsbeslut 11 maj 2017 [Beskrivning av hur totalförsvaret byggs upp], FM2019-4316:4 MSB2017-03498-4,</w:t>
      </w:r>
    </w:p>
    <w:p w14:paraId="1810E8ED" w14:textId="77777777" w:rsidR="000D5A94" w:rsidRPr="00F439E9" w:rsidRDefault="000D5A94" w:rsidP="000D5A94">
      <w:pPr>
        <w:rPr>
          <w:szCs w:val="22"/>
          <w:lang w:val="sv-SE"/>
        </w:rPr>
      </w:pPr>
      <w:hyperlink r:id="rId35" w:history="1">
        <w:r w:rsidRPr="00F439E9">
          <w:rPr>
            <w:rStyle w:val="Hyperlnk"/>
            <w:szCs w:val="22"/>
            <w:lang w:val="sv-SE"/>
          </w:rPr>
          <w:t>https://www.msb.se/contentassets/f1298afdc0b1489eb4262d8ccbb63c86/oppen-sammanfattning-av-redovisning-av-regeringsuppdrag-11-maj-2017-190216.pdf</w:t>
        </w:r>
      </w:hyperlink>
      <w:r w:rsidRPr="00F439E9">
        <w:rPr>
          <w:szCs w:val="22"/>
          <w:lang w:val="sv-SE"/>
        </w:rPr>
        <w:t xml:space="preserve"> </w:t>
      </w:r>
    </w:p>
    <w:p w14:paraId="5BC48125" w14:textId="77777777" w:rsidR="000D5A94" w:rsidRPr="00F439E9" w:rsidRDefault="000D5A94" w:rsidP="000D5A94">
      <w:pPr>
        <w:rPr>
          <w:szCs w:val="22"/>
          <w:lang w:val="sv-SE"/>
        </w:rPr>
      </w:pPr>
    </w:p>
    <w:p w14:paraId="3B62372C" w14:textId="1C9B595C" w:rsidR="00AF3909" w:rsidRPr="00F439E9" w:rsidRDefault="000D5A94" w:rsidP="000D5A94">
      <w:pPr>
        <w:rPr>
          <w:rStyle w:val="Hyperlnk"/>
          <w:szCs w:val="22"/>
          <w:lang w:val="sv-SE"/>
        </w:rPr>
      </w:pPr>
      <w:r w:rsidRPr="00F439E9">
        <w:rPr>
          <w:szCs w:val="22"/>
          <w:lang w:val="sv-SE"/>
        </w:rPr>
        <w:t xml:space="preserve">Försvarsberedningen, Motståndskraft: Inriktningen av totalförsvaret och utformningen av det civila försvaret 2021–2025, Ds 2017:66, </w:t>
      </w:r>
      <w:hyperlink r:id="rId36" w:history="1">
        <w:r w:rsidRPr="00F439E9">
          <w:rPr>
            <w:rStyle w:val="Hyperlnk"/>
            <w:szCs w:val="22"/>
            <w:lang w:val="sv-SE"/>
          </w:rPr>
          <w:t>https://www.regeringen.se/rattsliga- dokument/departementsserien-och-promemorior/2017/12/ds-201766/</w:t>
        </w:r>
      </w:hyperlink>
    </w:p>
    <w:p w14:paraId="529489BC" w14:textId="77777777" w:rsidR="00A85A9B" w:rsidRPr="00F439E9" w:rsidRDefault="00A85A9B" w:rsidP="000D5A94">
      <w:pPr>
        <w:rPr>
          <w:rStyle w:val="Hyperlnk"/>
          <w:szCs w:val="22"/>
          <w:lang w:val="sv-SE"/>
        </w:rPr>
      </w:pPr>
    </w:p>
    <w:p w14:paraId="013BDB00" w14:textId="3B6FBA9E" w:rsidR="00AF3909" w:rsidRPr="00F439E9" w:rsidRDefault="00A85A9B" w:rsidP="005D060B">
      <w:pPr>
        <w:rPr>
          <w:szCs w:val="22"/>
          <w:lang w:val="sv-SE"/>
        </w:rPr>
      </w:pPr>
      <w:proofErr w:type="spellStart"/>
      <w:r w:rsidRPr="00F439E9">
        <w:rPr>
          <w:szCs w:val="22"/>
          <w:lang w:val="sv-SE"/>
        </w:rPr>
        <w:t>MSBFS</w:t>
      </w:r>
      <w:proofErr w:type="spellEnd"/>
      <w:r w:rsidRPr="00F439E9">
        <w:rPr>
          <w:szCs w:val="22"/>
          <w:lang w:val="sv-SE"/>
        </w:rPr>
        <w:t xml:space="preserve"> 2016:7 föreskrifter och allmänna råd om statliga myndigheters risk- och sårbarhetsanalyser, </w:t>
      </w:r>
      <w:hyperlink r:id="rId37" w:history="1">
        <w:r w:rsidR="005D060B" w:rsidRPr="00F439E9">
          <w:rPr>
            <w:rStyle w:val="Hyperlnk"/>
            <w:szCs w:val="22"/>
            <w:lang w:val="sv-SE"/>
          </w:rPr>
          <w:t>https://www.msb.se/siteassets/dokument/regler/rs/153e4f90-d672-4fd5-a86f-f0ebb08cea28.pdf</w:t>
        </w:r>
      </w:hyperlink>
      <w:r w:rsidR="005D060B" w:rsidRPr="00F439E9">
        <w:rPr>
          <w:szCs w:val="22"/>
          <w:lang w:val="sv-SE"/>
        </w:rPr>
        <w:t xml:space="preserve"> </w:t>
      </w:r>
    </w:p>
    <w:p w14:paraId="50D1C66F" w14:textId="77777777" w:rsidR="005D060B" w:rsidRPr="00F439E9" w:rsidRDefault="005D060B" w:rsidP="005D060B">
      <w:pPr>
        <w:rPr>
          <w:szCs w:val="22"/>
          <w:lang w:val="sv-SE"/>
        </w:rPr>
      </w:pPr>
    </w:p>
    <w:p w14:paraId="104E648B" w14:textId="77777777" w:rsidR="00AF3909" w:rsidRPr="00F439E9" w:rsidRDefault="00AF3909" w:rsidP="008D3DA5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Försvarspolitisk inriktning – Sveriges försvar 2016–2020 </w:t>
      </w:r>
      <w:hyperlink r:id="rId38" w:history="1">
        <w:r w:rsidRPr="00F439E9">
          <w:rPr>
            <w:rStyle w:val="Hyperlnk"/>
            <w:szCs w:val="22"/>
            <w:lang w:val="sv-SE"/>
          </w:rPr>
          <w:t>https://www.riksdagen.se/sv/dokument- lagar/dokument/proposition/</w:t>
        </w:r>
        <w:proofErr w:type="spellStart"/>
        <w:r w:rsidRPr="00F439E9">
          <w:rPr>
            <w:rStyle w:val="Hyperlnk"/>
            <w:szCs w:val="22"/>
            <w:lang w:val="sv-SE"/>
          </w:rPr>
          <w:t>forsvarspolitisk</w:t>
        </w:r>
        <w:proofErr w:type="spellEnd"/>
        <w:r w:rsidRPr="00F439E9">
          <w:rPr>
            <w:rStyle w:val="Hyperlnk"/>
            <w:szCs w:val="22"/>
            <w:lang w:val="sv-SE"/>
          </w:rPr>
          <w:t>- inriktning---sveriges-forsvar_H203109</w:t>
        </w:r>
      </w:hyperlink>
    </w:p>
    <w:p w14:paraId="052A98BB" w14:textId="77777777" w:rsidR="00E07749" w:rsidRPr="00F439E9" w:rsidRDefault="00E07749" w:rsidP="008D3DA5">
      <w:pPr>
        <w:rPr>
          <w:szCs w:val="22"/>
          <w:lang w:val="sv-SE"/>
        </w:rPr>
      </w:pPr>
    </w:p>
    <w:p w14:paraId="66F0B2E2" w14:textId="5CC600F0" w:rsidR="00AF3909" w:rsidRPr="00F439E9" w:rsidRDefault="00850F84" w:rsidP="008D3DA5">
      <w:pPr>
        <w:rPr>
          <w:szCs w:val="22"/>
          <w:lang w:val="sv-SE"/>
        </w:rPr>
      </w:pPr>
      <w:r w:rsidRPr="00F439E9">
        <w:rPr>
          <w:szCs w:val="22"/>
          <w:lang w:val="sv-SE"/>
        </w:rPr>
        <w:t xml:space="preserve">En strategi för </w:t>
      </w:r>
      <w:r w:rsidR="00773210" w:rsidRPr="00F439E9">
        <w:rPr>
          <w:szCs w:val="22"/>
          <w:lang w:val="sv-SE"/>
        </w:rPr>
        <w:t>Sveriges</w:t>
      </w:r>
      <w:r w:rsidRPr="00F439E9">
        <w:rPr>
          <w:szCs w:val="22"/>
          <w:lang w:val="sv-SE"/>
        </w:rPr>
        <w:t xml:space="preserve"> säkerhet</w:t>
      </w:r>
      <w:r w:rsidR="00AF3909" w:rsidRPr="00F439E9">
        <w:rPr>
          <w:szCs w:val="22"/>
          <w:lang w:val="sv-SE"/>
        </w:rPr>
        <w:t xml:space="preserve"> </w:t>
      </w:r>
      <w:hyperlink r:id="rId39" w:history="1">
        <w:r w:rsidRPr="00F439E9">
          <w:rPr>
            <w:rStyle w:val="Hyperlnk"/>
            <w:lang w:val="sv-SE"/>
          </w:rPr>
          <w:t>https://www.regeringen.se/contentassets/0edfad3d44dc4ae092212826a8b67e24/en-strategi-for-sveriges-sakerhet-ds-20061</w:t>
        </w:r>
      </w:hyperlink>
      <w:r w:rsidRPr="00F439E9">
        <w:rPr>
          <w:lang w:val="sv-SE"/>
        </w:rPr>
        <w:t xml:space="preserve"> </w:t>
      </w:r>
    </w:p>
    <w:p w14:paraId="75D7A5BB" w14:textId="77777777" w:rsidR="00905DD1" w:rsidRPr="00F439E9" w:rsidRDefault="00905DD1" w:rsidP="00E07749">
      <w:pPr>
        <w:rPr>
          <w:szCs w:val="22"/>
          <w:lang w:val="sv-SE"/>
        </w:rPr>
      </w:pPr>
    </w:p>
    <w:p w14:paraId="3A2AAEF1" w14:textId="51951211" w:rsidR="00905DD1" w:rsidRPr="00F439E9" w:rsidRDefault="00905DD1" w:rsidP="00FC2765">
      <w:pPr>
        <w:pStyle w:val="Rubrik2"/>
        <w:rPr>
          <w:lang w:val="sv-SE"/>
        </w:rPr>
      </w:pPr>
      <w:r w:rsidRPr="00F439E9">
        <w:rPr>
          <w:lang w:val="sv-SE"/>
        </w:rPr>
        <w:lastRenderedPageBreak/>
        <w:t xml:space="preserve">Lästips </w:t>
      </w:r>
      <w:r w:rsidR="00EB1F3A" w:rsidRPr="00F439E9">
        <w:rPr>
          <w:lang w:val="sv-SE"/>
        </w:rPr>
        <w:t>‘</w:t>
      </w:r>
      <w:proofErr w:type="spellStart"/>
      <w:r w:rsidR="00EB1F3A" w:rsidRPr="00F439E9">
        <w:rPr>
          <w:lang w:val="sv-SE"/>
        </w:rPr>
        <w:t>K</w:t>
      </w:r>
      <w:r w:rsidRPr="00F439E9">
        <w:rPr>
          <w:lang w:val="sv-SE"/>
        </w:rPr>
        <w:t>limat</w:t>
      </w:r>
      <w:r w:rsidR="00EB1F3A" w:rsidRPr="00F439E9">
        <w:rPr>
          <w:lang w:val="sv-SE"/>
        </w:rPr>
        <w:t>risk</w:t>
      </w:r>
      <w:proofErr w:type="spellEnd"/>
      <w:r w:rsidRPr="00F439E9">
        <w:rPr>
          <w:lang w:val="sv-SE"/>
        </w:rPr>
        <w:t xml:space="preserve"> och sårbarhet</w:t>
      </w:r>
      <w:r w:rsidR="00EB1F3A" w:rsidRPr="00F439E9">
        <w:rPr>
          <w:lang w:val="sv-SE"/>
        </w:rPr>
        <w:t>’</w:t>
      </w:r>
    </w:p>
    <w:p w14:paraId="78C1D9A5" w14:textId="761CD797" w:rsidR="00527B8B" w:rsidRPr="00C24B1D" w:rsidRDefault="00C83F79" w:rsidP="00BD5C4D">
      <w:r w:rsidRPr="00F439E9">
        <w:rPr>
          <w:lang w:val="sv-SE"/>
        </w:rPr>
        <w:t xml:space="preserve">Vägledning och checklistor, Klimatanpassning i Samhällsplanering. </w:t>
      </w:r>
      <w:hyperlink r:id="rId40" w:history="1">
        <w:r w:rsidRPr="00C24B1D">
          <w:rPr>
            <w:rStyle w:val="Hyperlnk"/>
            <w:rFonts w:cstheme="minorHAnsi"/>
            <w:szCs w:val="22"/>
          </w:rPr>
          <w:t>https://www.klimatanpassning.se/klimatanpassa/vagledning-for-klimatanpassning/hantera-risker/samhallsplanering-1.89112</w:t>
        </w:r>
      </w:hyperlink>
    </w:p>
    <w:p w14:paraId="2E8EBC7F" w14:textId="77777777" w:rsidR="00E74933" w:rsidRPr="00C24B1D" w:rsidRDefault="00E74933" w:rsidP="00BD5C4D"/>
    <w:p w14:paraId="46EA2F6A" w14:textId="66C6EEBE" w:rsidR="00A618BF" w:rsidRPr="00C24B1D" w:rsidRDefault="00A618BF" w:rsidP="00BD5C4D">
      <w:r w:rsidRPr="00C24B1D">
        <w:t>Ara Begum, R., R. Lempert, E. Ali, T.A. Benjaminsen, T. Bernauer, W. Cramer, X. Cui, K. Mach, G. Nagy, N.C. Stenseth, R. Sukumar, and P. Wester, 2022: Point of Departure and Key Concepts. In: Climate Change 2022: Impacts, Adaptation and Vulnerability. Contribution of Working Group II to the Sixth Assessment Report of the Intergovernmental Panel on Climate Change [H.-</w:t>
      </w:r>
      <w:proofErr w:type="spellStart"/>
      <w:proofErr w:type="gramStart"/>
      <w:r w:rsidRPr="00C24B1D">
        <w:t>O.Pörtner</w:t>
      </w:r>
      <w:proofErr w:type="spellEnd"/>
      <w:proofErr w:type="gramEnd"/>
      <w:r w:rsidRPr="00C24B1D">
        <w:t xml:space="preserve">, </w:t>
      </w:r>
      <w:proofErr w:type="spellStart"/>
      <w:r w:rsidRPr="00C24B1D">
        <w:t>D.</w:t>
      </w:r>
      <w:proofErr w:type="gramStart"/>
      <w:r w:rsidRPr="00C24B1D">
        <w:t>C.Roberts</w:t>
      </w:r>
      <w:proofErr w:type="spellEnd"/>
      <w:proofErr w:type="gramEnd"/>
      <w:r w:rsidRPr="00C24B1D">
        <w:t xml:space="preserve">, </w:t>
      </w:r>
      <w:proofErr w:type="spellStart"/>
      <w:proofErr w:type="gramStart"/>
      <w:r w:rsidRPr="00C24B1D">
        <w:t>M.Tignor</w:t>
      </w:r>
      <w:proofErr w:type="spellEnd"/>
      <w:proofErr w:type="gramEnd"/>
      <w:r w:rsidRPr="00C24B1D">
        <w:t xml:space="preserve">, </w:t>
      </w:r>
      <w:proofErr w:type="spellStart"/>
      <w:r w:rsidRPr="00C24B1D">
        <w:t>E.</w:t>
      </w:r>
      <w:proofErr w:type="gramStart"/>
      <w:r w:rsidRPr="00C24B1D">
        <w:t>S.Poloczanska</w:t>
      </w:r>
      <w:proofErr w:type="spellEnd"/>
      <w:proofErr w:type="gramEnd"/>
      <w:r w:rsidRPr="00C24B1D">
        <w:t xml:space="preserve">, </w:t>
      </w:r>
      <w:proofErr w:type="spellStart"/>
      <w:proofErr w:type="gramStart"/>
      <w:r w:rsidRPr="00C24B1D">
        <w:t>K.Mintenbeck</w:t>
      </w:r>
      <w:proofErr w:type="spellEnd"/>
      <w:proofErr w:type="gramEnd"/>
      <w:r w:rsidRPr="00C24B1D">
        <w:t xml:space="preserve">, </w:t>
      </w:r>
      <w:proofErr w:type="spellStart"/>
      <w:proofErr w:type="gramStart"/>
      <w:r w:rsidRPr="00C24B1D">
        <w:t>A.Alegría</w:t>
      </w:r>
      <w:proofErr w:type="spellEnd"/>
      <w:proofErr w:type="gramEnd"/>
      <w:r w:rsidRPr="00C24B1D">
        <w:t xml:space="preserve">, </w:t>
      </w:r>
      <w:proofErr w:type="spellStart"/>
      <w:proofErr w:type="gramStart"/>
      <w:r w:rsidRPr="00C24B1D">
        <w:t>M.Craig</w:t>
      </w:r>
      <w:proofErr w:type="spellEnd"/>
      <w:proofErr w:type="gramEnd"/>
      <w:r w:rsidRPr="00C24B1D">
        <w:t xml:space="preserve">, S. Langsdorf, S. Löschke, V. </w:t>
      </w:r>
      <w:proofErr w:type="spellStart"/>
      <w:r w:rsidRPr="00C24B1D">
        <w:t>Möller</w:t>
      </w:r>
      <w:proofErr w:type="spellEnd"/>
      <w:r w:rsidRPr="00C24B1D">
        <w:t xml:space="preserve">, A. </w:t>
      </w:r>
      <w:proofErr w:type="spellStart"/>
      <w:r w:rsidRPr="00C24B1D">
        <w:t>Okem</w:t>
      </w:r>
      <w:proofErr w:type="spellEnd"/>
      <w:r w:rsidRPr="00C24B1D">
        <w:t xml:space="preserve">, B. Rama (eds.)]. Cambridge University Press, Cambridge, UK and New York, NY, USA, pp. 121–196, doi:10.1017/9781009325844.003. </w:t>
      </w:r>
      <w:hyperlink r:id="rId41" w:history="1">
        <w:r w:rsidRPr="00C24B1D">
          <w:rPr>
            <w:rStyle w:val="Hyperlnk"/>
            <w:rFonts w:cstheme="minorHAnsi"/>
            <w:szCs w:val="22"/>
          </w:rPr>
          <w:t>https://www.ipcc.ch/report/ar6/wg2/downloads/report/IPCC_AR6_WGII_Chapter01.pdf</w:t>
        </w:r>
      </w:hyperlink>
      <w:r w:rsidRPr="00C24B1D">
        <w:t xml:space="preserve"> </w:t>
      </w:r>
    </w:p>
    <w:p w14:paraId="12863483" w14:textId="77777777" w:rsidR="00905DD1" w:rsidRPr="00C24B1D" w:rsidRDefault="00905DD1" w:rsidP="00BD5C4D">
      <w:r w:rsidRPr="00F439E9">
        <w:rPr>
          <w:lang w:val="sv-SE"/>
        </w:rPr>
        <w:t xml:space="preserve">Bernes C. (2017) En varmare värld Växthuseffekten och klimatets förändringar – Tredje upplagan, </w:t>
      </w:r>
      <w:proofErr w:type="spellStart"/>
      <w:r w:rsidRPr="00F439E9">
        <w:rPr>
          <w:lang w:val="sv-SE"/>
        </w:rPr>
        <w:t>Third</w:t>
      </w:r>
      <w:proofErr w:type="spellEnd"/>
      <w:r w:rsidRPr="00F439E9">
        <w:rPr>
          <w:lang w:val="sv-SE"/>
        </w:rPr>
        <w:t>. </w:t>
      </w:r>
      <w:r w:rsidRPr="00C24B1D">
        <w:t>Swedish Environmental Protection Agency, Stockholm</w:t>
      </w:r>
    </w:p>
    <w:p w14:paraId="41993AB7" w14:textId="77777777" w:rsidR="00905DD1" w:rsidRPr="00C24B1D" w:rsidRDefault="00905DD1" w:rsidP="00BD5C4D">
      <w:r w:rsidRPr="00C24B1D">
        <w:t> </w:t>
      </w:r>
    </w:p>
    <w:p w14:paraId="2E6E5001" w14:textId="2ACB4465" w:rsidR="00905DD1" w:rsidRPr="00C24B1D" w:rsidRDefault="00905DD1" w:rsidP="00BD5C4D">
      <w:r w:rsidRPr="00C24B1D">
        <w:t xml:space="preserve">Birkmann J (2007) Risk and vulnerability indicators at different scales: Applicability, usefulness and policy implications. Environ Hazards 7:20–31. </w:t>
      </w:r>
      <w:proofErr w:type="spellStart"/>
      <w:r w:rsidRPr="00C24B1D">
        <w:t>doi</w:t>
      </w:r>
      <w:proofErr w:type="spellEnd"/>
      <w:r w:rsidRPr="00C24B1D">
        <w:t>: 10.1016/j.envhaz.2007.04.002</w:t>
      </w:r>
    </w:p>
    <w:p w14:paraId="590001D1" w14:textId="77777777" w:rsidR="00905DD1" w:rsidRPr="00C24B1D" w:rsidRDefault="00905DD1" w:rsidP="00BD5C4D">
      <w:r w:rsidRPr="00C24B1D">
        <w:t> </w:t>
      </w:r>
    </w:p>
    <w:p w14:paraId="70528564" w14:textId="77777777" w:rsidR="00905DD1" w:rsidRPr="00C24B1D" w:rsidRDefault="00905DD1" w:rsidP="00BD5C4D">
      <w:r w:rsidRPr="00C24B1D">
        <w:t xml:space="preserve">Costa L, Kropp J (2013) Linking components of vulnerability in theoretic frameworks and case studies. Sustain Sci 8:1–9. </w:t>
      </w:r>
      <w:proofErr w:type="spellStart"/>
      <w:r w:rsidRPr="00C24B1D">
        <w:t>doi</w:t>
      </w:r>
      <w:proofErr w:type="spellEnd"/>
      <w:r w:rsidRPr="00C24B1D">
        <w:t>: 10.1007/s11625-012-0158-4</w:t>
      </w:r>
    </w:p>
    <w:p w14:paraId="28D43EB2" w14:textId="77777777" w:rsidR="00905DD1" w:rsidRPr="00C24B1D" w:rsidRDefault="00905DD1" w:rsidP="00BD5C4D">
      <w:r w:rsidRPr="00C24B1D">
        <w:t> </w:t>
      </w:r>
    </w:p>
    <w:p w14:paraId="717605C2" w14:textId="77777777" w:rsidR="00905DD1" w:rsidRPr="00C24B1D" w:rsidRDefault="00905DD1" w:rsidP="00BD5C4D">
      <w:r w:rsidRPr="00C24B1D">
        <w:t>EEA (2017) Climate change, impacts and vulnerability in Europe 2016: An indicator-based report. European Environmental Agency, Luxembourg</w:t>
      </w:r>
    </w:p>
    <w:p w14:paraId="57C7CE2C" w14:textId="77777777" w:rsidR="00905DD1" w:rsidRPr="00C24B1D" w:rsidRDefault="00905DD1" w:rsidP="00BD5C4D">
      <w:r w:rsidRPr="00C24B1D">
        <w:t> </w:t>
      </w:r>
    </w:p>
    <w:p w14:paraId="273D6100" w14:textId="77777777" w:rsidR="00905DD1" w:rsidRPr="00C24B1D" w:rsidRDefault="00905DD1" w:rsidP="00BD5C4D">
      <w:r w:rsidRPr="00C24B1D">
        <w:t xml:space="preserve">Hinkel J (2011) “Indicators of vulnerability and adaptive capacity”: Towards a clarification of the science–policy interface. Glob Environ Chang 21:198–208. </w:t>
      </w:r>
      <w:proofErr w:type="spellStart"/>
      <w:r w:rsidRPr="00C24B1D">
        <w:t>doi</w:t>
      </w:r>
      <w:proofErr w:type="spellEnd"/>
      <w:r w:rsidRPr="00C24B1D">
        <w:t>: </w:t>
      </w:r>
      <w:hyperlink r:id="rId42" w:history="1">
        <w:r w:rsidRPr="00C24B1D">
          <w:rPr>
            <w:rStyle w:val="Hyperlnk"/>
            <w:szCs w:val="22"/>
          </w:rPr>
          <w:t>http://dx.doi.org/10.1016/j.gloenvcha.2010.08.002</w:t>
        </w:r>
      </w:hyperlink>
    </w:p>
    <w:p w14:paraId="78BF0FDE" w14:textId="77777777" w:rsidR="00905DD1" w:rsidRPr="00C24B1D" w:rsidRDefault="00905DD1" w:rsidP="00BD5C4D">
      <w:r w:rsidRPr="00C24B1D">
        <w:t> </w:t>
      </w:r>
    </w:p>
    <w:p w14:paraId="54D0B3CE" w14:textId="77777777" w:rsidR="00905DD1" w:rsidRPr="00C24B1D" w:rsidRDefault="00905DD1" w:rsidP="00BD5C4D">
      <w:r w:rsidRPr="00C24B1D">
        <w:t xml:space="preserve">Juhola S., Glaas E., Neset T-S. and </w:t>
      </w:r>
      <w:proofErr w:type="spellStart"/>
      <w:r w:rsidRPr="00C24B1D">
        <w:t>Linnér</w:t>
      </w:r>
      <w:proofErr w:type="spellEnd"/>
      <w:r w:rsidRPr="00C24B1D">
        <w:t xml:space="preserve"> B-O. </w:t>
      </w:r>
      <w:r w:rsidRPr="00C01C9C">
        <w:t xml:space="preserve">(2016). </w:t>
      </w:r>
      <w:r w:rsidRPr="00C24B1D">
        <w:t>Redefining maladaptation. Environmental Science and Policy, 55, 135-140.</w:t>
      </w:r>
    </w:p>
    <w:p w14:paraId="658EBEEC" w14:textId="77777777" w:rsidR="00905DD1" w:rsidRPr="00C24B1D" w:rsidRDefault="00905DD1" w:rsidP="00BD5C4D">
      <w:r w:rsidRPr="00C24B1D">
        <w:t> </w:t>
      </w:r>
    </w:p>
    <w:p w14:paraId="303F62D0" w14:textId="77777777" w:rsidR="00905DD1" w:rsidRPr="00C24B1D" w:rsidRDefault="00905DD1" w:rsidP="00BD5C4D">
      <w:r w:rsidRPr="00C24B1D">
        <w:t xml:space="preserve">Räsänen A, Juhola S, Nygren A, et al (2016) Climate change, multiple stressors and human vulnerability: a systematic review. Reg Environ Chang 16:2291–2302. </w:t>
      </w:r>
      <w:proofErr w:type="spellStart"/>
      <w:r w:rsidRPr="00C24B1D">
        <w:t>doi</w:t>
      </w:r>
      <w:proofErr w:type="spellEnd"/>
      <w:r w:rsidRPr="00C24B1D">
        <w:t>: 10.1007/s10113-016-0974-7</w:t>
      </w:r>
    </w:p>
    <w:p w14:paraId="0ABEA1CE" w14:textId="77777777" w:rsidR="00905DD1" w:rsidRPr="00C24B1D" w:rsidRDefault="00905DD1" w:rsidP="00BD5C4D">
      <w:r w:rsidRPr="00C24B1D">
        <w:t> </w:t>
      </w:r>
    </w:p>
    <w:p w14:paraId="4E51FFF3" w14:textId="6D82511E" w:rsidR="00905DD1" w:rsidRPr="00C24B1D" w:rsidRDefault="00905DD1" w:rsidP="00BD5C4D">
      <w:r w:rsidRPr="00C24B1D">
        <w:t xml:space="preserve">Rød </w:t>
      </w:r>
      <w:proofErr w:type="spellStart"/>
      <w:r w:rsidRPr="00C24B1D">
        <w:t>JK</w:t>
      </w:r>
      <w:proofErr w:type="spellEnd"/>
      <w:r w:rsidRPr="00C24B1D">
        <w:t xml:space="preserve">, </w:t>
      </w:r>
      <w:proofErr w:type="spellStart"/>
      <w:r w:rsidRPr="00C24B1D">
        <w:t>Berthling</w:t>
      </w:r>
      <w:proofErr w:type="spellEnd"/>
      <w:r w:rsidRPr="00C24B1D">
        <w:t xml:space="preserve"> I, Lein H, et al (2012) Integrated vulnerability mapping for wards in Mid Norway. Local Environ 17:695–716. </w:t>
      </w:r>
      <w:proofErr w:type="spellStart"/>
      <w:r w:rsidRPr="00C24B1D">
        <w:t>doi</w:t>
      </w:r>
      <w:proofErr w:type="spellEnd"/>
      <w:r w:rsidRPr="00C24B1D">
        <w:t>: 10.1080/13549839.2012.685879</w:t>
      </w:r>
    </w:p>
    <w:p w14:paraId="3B6ECEBB" w14:textId="77777777" w:rsidR="00A618BF" w:rsidRPr="00C24B1D" w:rsidRDefault="00A618BF" w:rsidP="00BD5C4D"/>
    <w:p w14:paraId="68EEEFB9" w14:textId="7E2506C9" w:rsidR="00A618BF" w:rsidRPr="00C24B1D" w:rsidRDefault="00A618BF" w:rsidP="00BD5C4D">
      <w:r w:rsidRPr="00C24B1D">
        <w:t xml:space="preserve">Rød </w:t>
      </w:r>
      <w:proofErr w:type="spellStart"/>
      <w:r w:rsidRPr="00C24B1D">
        <w:t>JK</w:t>
      </w:r>
      <w:proofErr w:type="spellEnd"/>
      <w:r w:rsidRPr="00C24B1D">
        <w:t xml:space="preserve">, </w:t>
      </w:r>
      <w:proofErr w:type="spellStart"/>
      <w:r w:rsidRPr="00C24B1D">
        <w:t>Opach</w:t>
      </w:r>
      <w:proofErr w:type="spellEnd"/>
      <w:r w:rsidRPr="00C24B1D">
        <w:t xml:space="preserve"> T, Neset T-S (2014) Three core activities toward a relevant integrated </w:t>
      </w:r>
    </w:p>
    <w:p w14:paraId="1F6D49B0" w14:textId="77777777" w:rsidR="00A618BF" w:rsidRPr="00C24B1D" w:rsidRDefault="00A618BF" w:rsidP="00BD5C4D">
      <w:r w:rsidRPr="00C24B1D">
        <w:t>vulnerability assessment: validate, visualize, and negotiate. J Risk Res 18:7:1–1</w:t>
      </w:r>
    </w:p>
    <w:p w14:paraId="3767E517" w14:textId="316F8C7C" w:rsidR="00A618BF" w:rsidRPr="00C24B1D" w:rsidRDefault="00A618BF" w:rsidP="00BD5C4D">
      <w:r w:rsidRPr="00C24B1D">
        <w:t xml:space="preserve">9. </w:t>
      </w:r>
      <w:proofErr w:type="spellStart"/>
      <w:r w:rsidRPr="00C24B1D">
        <w:t>doi</w:t>
      </w:r>
      <w:proofErr w:type="spellEnd"/>
      <w:r w:rsidRPr="00C24B1D">
        <w:t>: 10.1080/13669877.2014.923027</w:t>
      </w:r>
    </w:p>
    <w:p w14:paraId="7B5F39F3" w14:textId="77777777" w:rsidR="00BD5C4D" w:rsidRPr="00C24B1D" w:rsidRDefault="00BD5C4D" w:rsidP="00BD5C4D"/>
    <w:p w14:paraId="3AD4FC3F" w14:textId="50F1F059" w:rsidR="00905DD1" w:rsidRPr="00C24B1D" w:rsidRDefault="00DD03AA" w:rsidP="00BD5C4D">
      <w:pPr>
        <w:rPr>
          <w:color w:val="212121"/>
          <w:shd w:val="clear" w:color="auto" w:fill="FFFFFF"/>
        </w:rPr>
      </w:pPr>
      <w:r w:rsidRPr="00C24B1D">
        <w:rPr>
          <w:color w:val="212121"/>
          <w:shd w:val="clear" w:color="auto" w:fill="FFFFFF"/>
        </w:rPr>
        <w:lastRenderedPageBreak/>
        <w:t xml:space="preserve">Reisinger, Andy, Mark Howden, Carolina Vera, et al. (2020) The Concept of </w:t>
      </w:r>
      <w:r w:rsidRPr="00C24B1D">
        <w:rPr>
          <w:color w:val="212121"/>
        </w:rPr>
        <w:t xml:space="preserve">Risk in the IPCC Sixth Assessment Report: A Summary of Cross-Working Group Discussions. Intergovernmental </w:t>
      </w:r>
      <w:r w:rsidRPr="00C24B1D">
        <w:rPr>
          <w:color w:val="212121"/>
          <w:shd w:val="clear" w:color="auto" w:fill="FFFFFF"/>
        </w:rPr>
        <w:t xml:space="preserve">Panel on Climate Change, Geneva, Switzerland. pp15. </w:t>
      </w:r>
      <w:hyperlink r:id="rId43" w:history="1">
        <w:r w:rsidRPr="00C24B1D">
          <w:rPr>
            <w:rStyle w:val="Hyperlnk"/>
            <w:rFonts w:cstheme="minorHAnsi"/>
            <w:szCs w:val="22"/>
            <w:shd w:val="clear" w:color="auto" w:fill="FFFFFF"/>
          </w:rPr>
          <w:t>https://www.ipcc.ch/site/assets/uploads/2021/02/Risk-guidance-FINAL_15Feb2021.pdf</w:t>
        </w:r>
      </w:hyperlink>
      <w:r w:rsidRPr="00C24B1D">
        <w:rPr>
          <w:color w:val="212121"/>
          <w:shd w:val="clear" w:color="auto" w:fill="FFFFFF"/>
        </w:rPr>
        <w:t xml:space="preserve"> </w:t>
      </w:r>
    </w:p>
    <w:p w14:paraId="11F76D03" w14:textId="77777777" w:rsidR="00BD5C4D" w:rsidRPr="00C24B1D" w:rsidRDefault="00BD5C4D" w:rsidP="00BD5C4D"/>
    <w:p w14:paraId="4F2698C5" w14:textId="24240D7C" w:rsidR="00743B62" w:rsidRPr="00F439E9" w:rsidRDefault="00905DD1" w:rsidP="00BD5C4D">
      <w:pPr>
        <w:rPr>
          <w:lang w:val="sv-SE"/>
        </w:rPr>
      </w:pPr>
      <w:r w:rsidRPr="00C24B1D">
        <w:t xml:space="preserve">Scholz </w:t>
      </w:r>
      <w:proofErr w:type="spellStart"/>
      <w:r w:rsidRPr="00C24B1D">
        <w:t>RW</w:t>
      </w:r>
      <w:proofErr w:type="spellEnd"/>
      <w:r w:rsidRPr="00C24B1D">
        <w:t xml:space="preserve">, Blumer YB, Brand FS (2012) Risk, vulnerability, robustness, and resilience from a decision- theoretic perspective. </w:t>
      </w:r>
      <w:r w:rsidRPr="00F439E9">
        <w:rPr>
          <w:lang w:val="sv-SE"/>
        </w:rPr>
        <w:t xml:space="preserve">J Risk Res 15:313–330. </w:t>
      </w:r>
      <w:proofErr w:type="spellStart"/>
      <w:r w:rsidRPr="00F439E9">
        <w:rPr>
          <w:lang w:val="sv-SE"/>
        </w:rPr>
        <w:t>doi</w:t>
      </w:r>
      <w:proofErr w:type="spellEnd"/>
      <w:r w:rsidRPr="00F439E9">
        <w:rPr>
          <w:lang w:val="sv-SE"/>
        </w:rPr>
        <w:t xml:space="preserve">: </w:t>
      </w:r>
      <w:proofErr w:type="gramStart"/>
      <w:r w:rsidRPr="00F439E9">
        <w:rPr>
          <w:lang w:val="sv-SE"/>
        </w:rPr>
        <w:t>10.1080</w:t>
      </w:r>
      <w:proofErr w:type="gramEnd"/>
      <w:r w:rsidRPr="00F439E9">
        <w:rPr>
          <w:lang w:val="sv-SE"/>
        </w:rPr>
        <w:t>/</w:t>
      </w:r>
      <w:proofErr w:type="gramStart"/>
      <w:r w:rsidRPr="00F439E9">
        <w:rPr>
          <w:lang w:val="sv-SE"/>
        </w:rPr>
        <w:t>13669877.2011</w:t>
      </w:r>
      <w:proofErr w:type="gramEnd"/>
      <w:r w:rsidRPr="00F439E9">
        <w:rPr>
          <w:lang w:val="sv-SE"/>
        </w:rPr>
        <w:t>.</w:t>
      </w:r>
      <w:proofErr w:type="gramStart"/>
      <w:r w:rsidRPr="00F439E9">
        <w:rPr>
          <w:lang w:val="sv-SE"/>
        </w:rPr>
        <w:t>634522</w:t>
      </w:r>
      <w:proofErr w:type="gramEnd"/>
    </w:p>
    <w:p w14:paraId="1626051F" w14:textId="77777777" w:rsidR="00A618BF" w:rsidRPr="00F439E9" w:rsidRDefault="00A618BF" w:rsidP="00BD5C4D">
      <w:pPr>
        <w:rPr>
          <w:lang w:val="sv-SE"/>
        </w:rPr>
      </w:pPr>
    </w:p>
    <w:p w14:paraId="50A730DD" w14:textId="77777777" w:rsidR="00743B62" w:rsidRPr="00F439E9" w:rsidRDefault="00743B62" w:rsidP="000E180A">
      <w:pPr>
        <w:rPr>
          <w:lang w:val="sv-SE"/>
        </w:rPr>
      </w:pPr>
    </w:p>
    <w:p w14:paraId="57959390" w14:textId="77777777" w:rsidR="000E180A" w:rsidRPr="00F439E9" w:rsidRDefault="000E180A" w:rsidP="000E180A">
      <w:pPr>
        <w:rPr>
          <w:lang w:val="sv-SE"/>
        </w:rPr>
      </w:pPr>
    </w:p>
    <w:p w14:paraId="1E33955B" w14:textId="77777777" w:rsidR="000E180A" w:rsidRPr="00F439E9" w:rsidRDefault="000E180A" w:rsidP="000E180A">
      <w:pPr>
        <w:rPr>
          <w:szCs w:val="24"/>
          <w:lang w:val="sv-SE"/>
        </w:rPr>
      </w:pPr>
    </w:p>
    <w:p w14:paraId="60371669" w14:textId="77777777" w:rsidR="00017F1B" w:rsidRPr="00F439E9" w:rsidRDefault="00017F1B">
      <w:pPr>
        <w:rPr>
          <w:lang w:val="sv-SE"/>
        </w:rPr>
      </w:pPr>
    </w:p>
    <w:sectPr w:rsidR="00017F1B" w:rsidRPr="00F439E9" w:rsidSect="00387AE3">
      <w:headerReference w:type="default" r:id="rId4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E7F6" w14:textId="77777777" w:rsidR="00BF102A" w:rsidRDefault="00BF102A" w:rsidP="00134309">
      <w:pPr>
        <w:spacing w:line="240" w:lineRule="auto"/>
      </w:pPr>
      <w:r>
        <w:separator/>
      </w:r>
    </w:p>
  </w:endnote>
  <w:endnote w:type="continuationSeparator" w:id="0">
    <w:p w14:paraId="181EA560" w14:textId="77777777" w:rsidR="00BF102A" w:rsidRDefault="00BF102A" w:rsidP="00134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rolevLiU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KorolevLiU Bold"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Times New Roman"/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ITC Galliard St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1E84" w14:textId="77777777" w:rsidR="00BF102A" w:rsidRDefault="00BF102A" w:rsidP="00134309">
      <w:pPr>
        <w:spacing w:line="240" w:lineRule="auto"/>
      </w:pPr>
      <w:r>
        <w:separator/>
      </w:r>
    </w:p>
  </w:footnote>
  <w:footnote w:type="continuationSeparator" w:id="0">
    <w:p w14:paraId="43CD15AA" w14:textId="77777777" w:rsidR="00BF102A" w:rsidRDefault="00BF102A" w:rsidP="00134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26"/>
      <w:gridCol w:w="3969"/>
    </w:tblGrid>
    <w:tr w:rsidR="00134309" w:rsidRPr="00134309" w14:paraId="6C3B8916" w14:textId="77777777" w:rsidTr="00514D7C">
      <w:tc>
        <w:tcPr>
          <w:tcW w:w="4644" w:type="dxa"/>
        </w:tcPr>
        <w:p w14:paraId="5CBED026" w14:textId="77777777" w:rsidR="00134309" w:rsidRPr="00134309" w:rsidRDefault="00134309" w:rsidP="00134309">
          <w:pPr>
            <w:tabs>
              <w:tab w:val="left" w:pos="4536"/>
              <w:tab w:val="right" w:pos="8930"/>
            </w:tabs>
            <w:autoSpaceDE/>
            <w:autoSpaceDN/>
            <w:adjustRightInd/>
            <w:spacing w:line="240" w:lineRule="auto"/>
            <w:ind w:right="360"/>
            <w:textAlignment w:val="auto"/>
            <w:rPr>
              <w:rFonts w:ascii="Calibri" w:hAnsi="Calibri" w:cs="Calibri-Bold"/>
              <w:b/>
              <w:bCs/>
              <w:caps/>
              <w:color w:val="auto"/>
              <w:sz w:val="18"/>
              <w:szCs w:val="18"/>
              <w:lang w:val="sv-SE"/>
            </w:rPr>
          </w:pPr>
          <w:r w:rsidRPr="00134309">
            <w:rPr>
              <w:rFonts w:ascii="Calibri" w:hAnsi="Calibri" w:cs="Calibri-Bold"/>
              <w:b/>
              <w:bCs/>
              <w:caps/>
              <w:color w:val="auto"/>
              <w:sz w:val="18"/>
              <w:szCs w:val="18"/>
              <w:lang w:val="sv-SE"/>
            </w:rPr>
            <w:t>Linköpings Universitet</w:t>
          </w:r>
        </w:p>
        <w:p w14:paraId="1F443B6A" w14:textId="77777777" w:rsidR="00134309" w:rsidRPr="00134309" w:rsidRDefault="00134309" w:rsidP="00134309">
          <w:pPr>
            <w:tabs>
              <w:tab w:val="left" w:pos="4536"/>
              <w:tab w:val="right" w:pos="8930"/>
            </w:tabs>
            <w:autoSpaceDE/>
            <w:autoSpaceDN/>
            <w:adjustRightInd/>
            <w:spacing w:line="240" w:lineRule="auto"/>
            <w:ind w:right="360"/>
            <w:textAlignment w:val="auto"/>
            <w:rPr>
              <w:rFonts w:ascii="Calibri-Bold" w:hAnsi="Calibri-Bold" w:cs="Calibri-Bold"/>
              <w:b/>
              <w:bCs/>
              <w:caps/>
              <w:color w:val="auto"/>
              <w:sz w:val="18"/>
              <w:szCs w:val="18"/>
              <w:lang w:val="sv-SE"/>
            </w:rPr>
          </w:pPr>
          <w:r w:rsidRPr="00134309">
            <w:rPr>
              <w:rFonts w:ascii="Calibri" w:hAnsi="Calibri" w:cs="Calibri"/>
              <w:caps/>
              <w:color w:val="auto"/>
              <w:sz w:val="18"/>
              <w:szCs w:val="18"/>
              <w:lang w:val="sv-SE"/>
            </w:rPr>
            <w:t>Institutionen för TEma</w:t>
          </w:r>
        </w:p>
      </w:tc>
      <w:tc>
        <w:tcPr>
          <w:tcW w:w="426" w:type="dxa"/>
        </w:tcPr>
        <w:p w14:paraId="17A823C8" w14:textId="77777777" w:rsidR="00134309" w:rsidRPr="00134309" w:rsidRDefault="00134309" w:rsidP="00134309">
          <w:pPr>
            <w:tabs>
              <w:tab w:val="left" w:pos="4536"/>
              <w:tab w:val="right" w:pos="8930"/>
            </w:tabs>
            <w:autoSpaceDE/>
            <w:autoSpaceDN/>
            <w:adjustRightInd/>
            <w:spacing w:line="240" w:lineRule="auto"/>
            <w:ind w:right="360"/>
            <w:textAlignment w:val="auto"/>
            <w:rPr>
              <w:rFonts w:ascii="Calibri-Bold" w:hAnsi="Calibri-Bold" w:cs="Calibri-Bold"/>
              <w:b/>
              <w:bCs/>
              <w:caps/>
              <w:color w:val="auto"/>
              <w:sz w:val="18"/>
              <w:szCs w:val="18"/>
              <w:lang w:val="sv-SE"/>
            </w:rPr>
          </w:pPr>
        </w:p>
      </w:tc>
      <w:tc>
        <w:tcPr>
          <w:tcW w:w="3969" w:type="dxa"/>
        </w:tcPr>
        <w:p w14:paraId="28717411" w14:textId="77777777" w:rsidR="00134309" w:rsidRPr="00134309" w:rsidRDefault="00134309" w:rsidP="00134309">
          <w:pPr>
            <w:tabs>
              <w:tab w:val="left" w:pos="6190"/>
              <w:tab w:val="right" w:pos="8930"/>
            </w:tabs>
            <w:autoSpaceDE/>
            <w:autoSpaceDN/>
            <w:adjustRightInd/>
            <w:spacing w:line="240" w:lineRule="auto"/>
            <w:ind w:right="-108"/>
            <w:jc w:val="right"/>
            <w:textAlignment w:val="auto"/>
            <w:rPr>
              <w:rFonts w:ascii="Calibri" w:hAnsi="Calibri" w:cs="Calibri"/>
              <w:color w:val="auto"/>
              <w:sz w:val="18"/>
              <w:szCs w:val="18"/>
              <w:lang w:val="sv-SE"/>
            </w:rPr>
          </w:pPr>
          <w:r w:rsidRPr="00134309">
            <w:rPr>
              <w:rFonts w:ascii="Calibri" w:hAnsi="Calibri" w:cstheme="minorBidi"/>
              <w:color w:val="auto"/>
              <w:sz w:val="18"/>
              <w:szCs w:val="24"/>
              <w:lang w:val="sv-SE"/>
            </w:rPr>
            <w:t>Kurslitteratur</w:t>
          </w:r>
        </w:p>
        <w:p w14:paraId="237E83CC" w14:textId="77777777" w:rsidR="00134309" w:rsidRPr="00134309" w:rsidRDefault="00134309" w:rsidP="00134309">
          <w:pPr>
            <w:tabs>
              <w:tab w:val="left" w:pos="6190"/>
              <w:tab w:val="right" w:pos="8930"/>
            </w:tabs>
            <w:autoSpaceDE/>
            <w:autoSpaceDN/>
            <w:adjustRightInd/>
            <w:spacing w:line="240" w:lineRule="auto"/>
            <w:ind w:right="-108"/>
            <w:jc w:val="right"/>
            <w:textAlignment w:val="auto"/>
            <w:rPr>
              <w:rFonts w:ascii="Calibri" w:hAnsi="Calibri" w:cstheme="minorBidi"/>
              <w:color w:val="auto"/>
              <w:sz w:val="18"/>
              <w:szCs w:val="24"/>
              <w:lang w:val="sv-SE"/>
            </w:rPr>
          </w:pPr>
        </w:p>
        <w:p w14:paraId="4792F7DC" w14:textId="77777777" w:rsidR="00134309" w:rsidRPr="00134309" w:rsidRDefault="00134309" w:rsidP="00134309">
          <w:pPr>
            <w:tabs>
              <w:tab w:val="left" w:pos="4536"/>
              <w:tab w:val="right" w:pos="8930"/>
            </w:tabs>
            <w:autoSpaceDE/>
            <w:autoSpaceDN/>
            <w:adjustRightInd/>
            <w:spacing w:line="240" w:lineRule="auto"/>
            <w:ind w:right="-108"/>
            <w:jc w:val="right"/>
            <w:textAlignment w:val="auto"/>
            <w:rPr>
              <w:rFonts w:ascii="Calibri-Bold" w:hAnsi="Calibri-Bold" w:cs="Calibri-Bold"/>
              <w:b/>
              <w:bCs/>
              <w:caps/>
              <w:color w:val="auto"/>
              <w:sz w:val="18"/>
              <w:szCs w:val="18"/>
              <w:lang w:val="sv-SE"/>
            </w:rPr>
          </w:pPr>
          <w:r w:rsidRPr="00134309">
            <w:rPr>
              <w:rFonts w:ascii="Calibri" w:hAnsi="Calibri" w:cstheme="minorBidi"/>
              <w:color w:val="auto"/>
              <w:sz w:val="18"/>
              <w:szCs w:val="24"/>
              <w:lang w:val="sv-SE"/>
            </w:rPr>
            <w:fldChar w:fldCharType="begin"/>
          </w:r>
          <w:r w:rsidRPr="00134309">
            <w:rPr>
              <w:rFonts w:ascii="Calibri" w:hAnsi="Calibri" w:cstheme="minorBidi"/>
              <w:color w:val="auto"/>
              <w:sz w:val="18"/>
              <w:szCs w:val="24"/>
              <w:lang w:val="sv-SE"/>
            </w:rPr>
            <w:instrText xml:space="preserve"> PAGE  \* MERGEFORMAT </w:instrText>
          </w:r>
          <w:r w:rsidRPr="00134309">
            <w:rPr>
              <w:rFonts w:ascii="Calibri" w:hAnsi="Calibri" w:cstheme="minorBidi"/>
              <w:color w:val="auto"/>
              <w:sz w:val="18"/>
              <w:szCs w:val="24"/>
              <w:lang w:val="sv-SE"/>
            </w:rPr>
            <w:fldChar w:fldCharType="separate"/>
          </w:r>
          <w:r w:rsidRPr="00134309">
            <w:rPr>
              <w:rFonts w:ascii="Calibri" w:hAnsi="Calibri" w:cstheme="minorBidi"/>
              <w:noProof/>
              <w:color w:val="auto"/>
              <w:sz w:val="18"/>
              <w:szCs w:val="24"/>
              <w:lang w:val="sv-SE"/>
            </w:rPr>
            <w:t>1</w:t>
          </w:r>
          <w:r w:rsidRPr="00134309">
            <w:rPr>
              <w:rFonts w:ascii="Calibri" w:hAnsi="Calibri" w:cstheme="minorBidi"/>
              <w:color w:val="auto"/>
              <w:sz w:val="18"/>
              <w:szCs w:val="24"/>
              <w:lang w:val="sv-SE"/>
            </w:rPr>
            <w:fldChar w:fldCharType="end"/>
          </w:r>
          <w:r w:rsidRPr="00134309">
            <w:rPr>
              <w:rFonts w:ascii="Calibri" w:hAnsi="Calibri" w:cstheme="minorBidi"/>
              <w:color w:val="auto"/>
              <w:sz w:val="18"/>
              <w:szCs w:val="24"/>
              <w:lang w:val="sv-SE"/>
            </w:rPr>
            <w:t>(</w:t>
          </w:r>
          <w:r w:rsidRPr="00134309">
            <w:rPr>
              <w:rFonts w:ascii="Calibri" w:hAnsi="Calibri" w:cstheme="minorBidi"/>
              <w:noProof/>
              <w:color w:val="auto"/>
              <w:sz w:val="18"/>
              <w:szCs w:val="24"/>
              <w:lang w:val="sv-SE"/>
            </w:rPr>
            <w:fldChar w:fldCharType="begin"/>
          </w:r>
          <w:r w:rsidRPr="00134309">
            <w:rPr>
              <w:rFonts w:ascii="Calibri" w:hAnsi="Calibri" w:cstheme="minorBidi"/>
              <w:noProof/>
              <w:color w:val="auto"/>
              <w:sz w:val="18"/>
              <w:szCs w:val="24"/>
              <w:lang w:val="sv-SE"/>
            </w:rPr>
            <w:instrText xml:space="preserve"> NUMPAGES  \* MERGEFORMAT </w:instrText>
          </w:r>
          <w:r w:rsidRPr="00134309">
            <w:rPr>
              <w:rFonts w:ascii="Calibri" w:hAnsi="Calibri" w:cstheme="minorBidi"/>
              <w:noProof/>
              <w:color w:val="auto"/>
              <w:sz w:val="18"/>
              <w:szCs w:val="24"/>
              <w:lang w:val="sv-SE"/>
            </w:rPr>
            <w:fldChar w:fldCharType="separate"/>
          </w:r>
          <w:r w:rsidRPr="00134309">
            <w:rPr>
              <w:rFonts w:ascii="Calibri" w:hAnsi="Calibri" w:cstheme="minorBidi"/>
              <w:noProof/>
              <w:color w:val="auto"/>
              <w:sz w:val="18"/>
              <w:szCs w:val="24"/>
              <w:lang w:val="sv-SE"/>
            </w:rPr>
            <w:t>8</w:t>
          </w:r>
          <w:r w:rsidRPr="00134309">
            <w:rPr>
              <w:rFonts w:ascii="Calibri" w:hAnsi="Calibri" w:cstheme="minorBidi"/>
              <w:noProof/>
              <w:color w:val="auto"/>
              <w:sz w:val="18"/>
              <w:szCs w:val="24"/>
              <w:lang w:val="sv-SE"/>
            </w:rPr>
            <w:fldChar w:fldCharType="end"/>
          </w:r>
          <w:r w:rsidRPr="00134309">
            <w:rPr>
              <w:rFonts w:ascii="Calibri" w:hAnsi="Calibri" w:cstheme="minorBidi"/>
              <w:color w:val="auto"/>
              <w:sz w:val="18"/>
              <w:szCs w:val="24"/>
              <w:lang w:val="sv-SE"/>
            </w:rPr>
            <w:t>)</w:t>
          </w:r>
        </w:p>
      </w:tc>
    </w:tr>
  </w:tbl>
  <w:p w14:paraId="41C7EB81" w14:textId="77777777" w:rsidR="00134309" w:rsidRDefault="0013430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0A"/>
    <w:rsid w:val="00017F1B"/>
    <w:rsid w:val="000312A1"/>
    <w:rsid w:val="00035A2A"/>
    <w:rsid w:val="00071EA2"/>
    <w:rsid w:val="00077EEA"/>
    <w:rsid w:val="00084ADA"/>
    <w:rsid w:val="000923B2"/>
    <w:rsid w:val="000B5F6C"/>
    <w:rsid w:val="000D0F55"/>
    <w:rsid w:val="000D5A94"/>
    <w:rsid w:val="000E180A"/>
    <w:rsid w:val="001072EE"/>
    <w:rsid w:val="00110EB6"/>
    <w:rsid w:val="00110F3A"/>
    <w:rsid w:val="00134309"/>
    <w:rsid w:val="0016067E"/>
    <w:rsid w:val="001B2194"/>
    <w:rsid w:val="001B2A60"/>
    <w:rsid w:val="001B3DDA"/>
    <w:rsid w:val="001D47AA"/>
    <w:rsid w:val="002134CA"/>
    <w:rsid w:val="002430CB"/>
    <w:rsid w:val="00254248"/>
    <w:rsid w:val="0026551A"/>
    <w:rsid w:val="002865D3"/>
    <w:rsid w:val="002940F5"/>
    <w:rsid w:val="002A0352"/>
    <w:rsid w:val="002C2EA7"/>
    <w:rsid w:val="003256D5"/>
    <w:rsid w:val="00332057"/>
    <w:rsid w:val="003322CE"/>
    <w:rsid w:val="0034569E"/>
    <w:rsid w:val="003525BB"/>
    <w:rsid w:val="00372191"/>
    <w:rsid w:val="00387AE3"/>
    <w:rsid w:val="003952C2"/>
    <w:rsid w:val="003A0349"/>
    <w:rsid w:val="003A53B9"/>
    <w:rsid w:val="003C02E5"/>
    <w:rsid w:val="003C1959"/>
    <w:rsid w:val="003C2935"/>
    <w:rsid w:val="003C5A02"/>
    <w:rsid w:val="003D21B9"/>
    <w:rsid w:val="003E7C42"/>
    <w:rsid w:val="00402771"/>
    <w:rsid w:val="004253DB"/>
    <w:rsid w:val="0042676E"/>
    <w:rsid w:val="00447E37"/>
    <w:rsid w:val="0047611F"/>
    <w:rsid w:val="00483F68"/>
    <w:rsid w:val="00485A06"/>
    <w:rsid w:val="004A120D"/>
    <w:rsid w:val="004A23A5"/>
    <w:rsid w:val="004A796C"/>
    <w:rsid w:val="004D0C29"/>
    <w:rsid w:val="004E7491"/>
    <w:rsid w:val="004F45F6"/>
    <w:rsid w:val="005004F2"/>
    <w:rsid w:val="00506E7E"/>
    <w:rsid w:val="0050783D"/>
    <w:rsid w:val="00513E13"/>
    <w:rsid w:val="00527B07"/>
    <w:rsid w:val="00527B8B"/>
    <w:rsid w:val="00546FD9"/>
    <w:rsid w:val="00550863"/>
    <w:rsid w:val="00593209"/>
    <w:rsid w:val="00595B5B"/>
    <w:rsid w:val="005C013B"/>
    <w:rsid w:val="005C3F6E"/>
    <w:rsid w:val="005D060B"/>
    <w:rsid w:val="005D6E4B"/>
    <w:rsid w:val="005E59F8"/>
    <w:rsid w:val="00610ACB"/>
    <w:rsid w:val="006136D7"/>
    <w:rsid w:val="00614ECA"/>
    <w:rsid w:val="0063308C"/>
    <w:rsid w:val="0064736E"/>
    <w:rsid w:val="00682F27"/>
    <w:rsid w:val="00684D45"/>
    <w:rsid w:val="00695CB1"/>
    <w:rsid w:val="006A14ED"/>
    <w:rsid w:val="006B1F1E"/>
    <w:rsid w:val="006C79FB"/>
    <w:rsid w:val="006D46E3"/>
    <w:rsid w:val="006F5DF1"/>
    <w:rsid w:val="007155E6"/>
    <w:rsid w:val="00716416"/>
    <w:rsid w:val="0072443C"/>
    <w:rsid w:val="007371E8"/>
    <w:rsid w:val="00742844"/>
    <w:rsid w:val="00743B62"/>
    <w:rsid w:val="0075157A"/>
    <w:rsid w:val="0075231E"/>
    <w:rsid w:val="00763ADD"/>
    <w:rsid w:val="0076523E"/>
    <w:rsid w:val="00767E13"/>
    <w:rsid w:val="00773210"/>
    <w:rsid w:val="007749CE"/>
    <w:rsid w:val="0078243D"/>
    <w:rsid w:val="00783D69"/>
    <w:rsid w:val="007A77F1"/>
    <w:rsid w:val="007B0D8D"/>
    <w:rsid w:val="007B2779"/>
    <w:rsid w:val="007B5EFE"/>
    <w:rsid w:val="007D21E8"/>
    <w:rsid w:val="007E7ACC"/>
    <w:rsid w:val="007E7E03"/>
    <w:rsid w:val="007F3696"/>
    <w:rsid w:val="007F7645"/>
    <w:rsid w:val="0084134A"/>
    <w:rsid w:val="00843A4E"/>
    <w:rsid w:val="00846A6A"/>
    <w:rsid w:val="00850F84"/>
    <w:rsid w:val="008562B5"/>
    <w:rsid w:val="0086009F"/>
    <w:rsid w:val="008D3DA5"/>
    <w:rsid w:val="008E27F2"/>
    <w:rsid w:val="00905DD1"/>
    <w:rsid w:val="00920374"/>
    <w:rsid w:val="00931C10"/>
    <w:rsid w:val="00933208"/>
    <w:rsid w:val="00951CC2"/>
    <w:rsid w:val="00953D10"/>
    <w:rsid w:val="0097555F"/>
    <w:rsid w:val="00994075"/>
    <w:rsid w:val="009B361F"/>
    <w:rsid w:val="009F6F25"/>
    <w:rsid w:val="00A03F81"/>
    <w:rsid w:val="00A04474"/>
    <w:rsid w:val="00A618BF"/>
    <w:rsid w:val="00A85A9B"/>
    <w:rsid w:val="00AC3F18"/>
    <w:rsid w:val="00AF3909"/>
    <w:rsid w:val="00B14F60"/>
    <w:rsid w:val="00B1712D"/>
    <w:rsid w:val="00B20C1B"/>
    <w:rsid w:val="00B273D2"/>
    <w:rsid w:val="00B37AFE"/>
    <w:rsid w:val="00B41926"/>
    <w:rsid w:val="00B57235"/>
    <w:rsid w:val="00B6438A"/>
    <w:rsid w:val="00B84744"/>
    <w:rsid w:val="00B933D0"/>
    <w:rsid w:val="00BA01A6"/>
    <w:rsid w:val="00BC6C95"/>
    <w:rsid w:val="00BD5C4D"/>
    <w:rsid w:val="00BE3F34"/>
    <w:rsid w:val="00BF102A"/>
    <w:rsid w:val="00BF4518"/>
    <w:rsid w:val="00BF685A"/>
    <w:rsid w:val="00BF77A5"/>
    <w:rsid w:val="00C01C9C"/>
    <w:rsid w:val="00C055E0"/>
    <w:rsid w:val="00C130AB"/>
    <w:rsid w:val="00C24B1D"/>
    <w:rsid w:val="00C34B1C"/>
    <w:rsid w:val="00C4057C"/>
    <w:rsid w:val="00C44901"/>
    <w:rsid w:val="00C52D65"/>
    <w:rsid w:val="00C57364"/>
    <w:rsid w:val="00C70A26"/>
    <w:rsid w:val="00C73164"/>
    <w:rsid w:val="00C75107"/>
    <w:rsid w:val="00C83F79"/>
    <w:rsid w:val="00C84577"/>
    <w:rsid w:val="00C976DE"/>
    <w:rsid w:val="00CA5328"/>
    <w:rsid w:val="00CB059B"/>
    <w:rsid w:val="00CC24F9"/>
    <w:rsid w:val="00D03D32"/>
    <w:rsid w:val="00D15B2A"/>
    <w:rsid w:val="00D257AF"/>
    <w:rsid w:val="00D31514"/>
    <w:rsid w:val="00D51122"/>
    <w:rsid w:val="00D62467"/>
    <w:rsid w:val="00D85BC1"/>
    <w:rsid w:val="00D912B1"/>
    <w:rsid w:val="00DA6010"/>
    <w:rsid w:val="00DD03AA"/>
    <w:rsid w:val="00DE3234"/>
    <w:rsid w:val="00E07749"/>
    <w:rsid w:val="00E522C1"/>
    <w:rsid w:val="00E60068"/>
    <w:rsid w:val="00E74933"/>
    <w:rsid w:val="00E8123A"/>
    <w:rsid w:val="00E873E0"/>
    <w:rsid w:val="00EB1F3A"/>
    <w:rsid w:val="00EB50E6"/>
    <w:rsid w:val="00ED4B06"/>
    <w:rsid w:val="00F42D62"/>
    <w:rsid w:val="00F439E9"/>
    <w:rsid w:val="00F57597"/>
    <w:rsid w:val="00F67AE9"/>
    <w:rsid w:val="00F75826"/>
    <w:rsid w:val="00F83F52"/>
    <w:rsid w:val="00F959E1"/>
    <w:rsid w:val="00FB3491"/>
    <w:rsid w:val="00FB4EFB"/>
    <w:rsid w:val="00FB6473"/>
    <w:rsid w:val="00FB7884"/>
    <w:rsid w:val="00FC19DD"/>
    <w:rsid w:val="00FC2765"/>
    <w:rsid w:val="00FF11DA"/>
    <w:rsid w:val="00FF30EB"/>
    <w:rsid w:val="01EBCF8E"/>
    <w:rsid w:val="067681BE"/>
    <w:rsid w:val="0A2A6DDD"/>
    <w:rsid w:val="0FBEE74F"/>
    <w:rsid w:val="15181DAE"/>
    <w:rsid w:val="18AB7FDC"/>
    <w:rsid w:val="1C41F0F2"/>
    <w:rsid w:val="1D75C3FF"/>
    <w:rsid w:val="24FAB144"/>
    <w:rsid w:val="2538739D"/>
    <w:rsid w:val="286244E0"/>
    <w:rsid w:val="2A5D9553"/>
    <w:rsid w:val="2B795787"/>
    <w:rsid w:val="2CFD87F8"/>
    <w:rsid w:val="2F749DC2"/>
    <w:rsid w:val="32925DF1"/>
    <w:rsid w:val="33975A0A"/>
    <w:rsid w:val="3553484A"/>
    <w:rsid w:val="380D64A5"/>
    <w:rsid w:val="3A9E6A44"/>
    <w:rsid w:val="417D47D5"/>
    <w:rsid w:val="454F0FB1"/>
    <w:rsid w:val="48937349"/>
    <w:rsid w:val="4A4A17DA"/>
    <w:rsid w:val="4D6497E5"/>
    <w:rsid w:val="4EC9FF48"/>
    <w:rsid w:val="4FCACB11"/>
    <w:rsid w:val="4FFF0D1C"/>
    <w:rsid w:val="50B0AE3E"/>
    <w:rsid w:val="58BE1509"/>
    <w:rsid w:val="58C99FE9"/>
    <w:rsid w:val="5BF5B486"/>
    <w:rsid w:val="5C6BDF0E"/>
    <w:rsid w:val="5F45C626"/>
    <w:rsid w:val="6020EE31"/>
    <w:rsid w:val="6149B527"/>
    <w:rsid w:val="61632527"/>
    <w:rsid w:val="63ABC62C"/>
    <w:rsid w:val="6495E45B"/>
    <w:rsid w:val="66EFEC9B"/>
    <w:rsid w:val="675F0D00"/>
    <w:rsid w:val="69F7BCEF"/>
    <w:rsid w:val="6A278D5D"/>
    <w:rsid w:val="6A96ADC2"/>
    <w:rsid w:val="6A97BB66"/>
    <w:rsid w:val="707DA684"/>
    <w:rsid w:val="70CFB890"/>
    <w:rsid w:val="71EED7D5"/>
    <w:rsid w:val="76CE3100"/>
    <w:rsid w:val="773F17CD"/>
    <w:rsid w:val="78F06822"/>
    <w:rsid w:val="7A54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8C50"/>
  <w14:defaultImageDpi w14:val="32767"/>
  <w15:chartTrackingRefBased/>
  <w15:docId w15:val="{94230930-9741-DD46-BB34-37234D9F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55E6"/>
    <w:pPr>
      <w:autoSpaceDE w:val="0"/>
      <w:autoSpaceDN w:val="0"/>
      <w:adjustRightInd w:val="0"/>
      <w:spacing w:line="288" w:lineRule="auto"/>
      <w:textAlignment w:val="center"/>
    </w:pPr>
    <w:rPr>
      <w:rFonts w:ascii="Georgia" w:eastAsiaTheme="minorEastAsia" w:hAnsi="Georgia" w:cs="Georgia"/>
      <w:color w:val="000000"/>
      <w:sz w:val="22"/>
      <w:szCs w:val="21"/>
      <w:lang w:val="en-US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136D7"/>
    <w:pPr>
      <w:keepNext/>
      <w:keepLines/>
      <w:spacing w:before="240"/>
      <w:outlineLvl w:val="0"/>
    </w:pPr>
    <w:rPr>
      <w:rFonts w:ascii="KorolevLiU Medium" w:eastAsiaTheme="majorEastAsia" w:hAnsi="KorolevLiU Medium" w:cstheme="majorBidi"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2765"/>
    <w:pPr>
      <w:keepNext/>
      <w:keepLines/>
      <w:spacing w:before="240" w:after="120"/>
      <w:outlineLvl w:val="1"/>
    </w:pPr>
    <w:rPr>
      <w:rFonts w:ascii="KorolevLiU Bold" w:eastAsiaTheme="majorEastAsia" w:hAnsi="KorolevLiU Bold" w:cs="Times New Roman (CS-rubriker)"/>
      <w:b/>
      <w:color w:val="000000" w:themeColor="text1"/>
      <w:sz w:val="28"/>
      <w:szCs w:val="26"/>
      <w:u w:val="singl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E18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  <w:u w:val="singl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32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0E180A"/>
    <w:rPr>
      <w:rFonts w:asciiTheme="majorHAnsi" w:eastAsiaTheme="majorEastAsia" w:hAnsiTheme="majorHAnsi" w:cstheme="majorBidi"/>
      <w:b/>
      <w:color w:val="000000" w:themeColor="text1"/>
      <w:u w:val="single"/>
      <w:lang w:val="en-US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FC2765"/>
    <w:rPr>
      <w:rFonts w:ascii="KorolevLiU Bold" w:eastAsiaTheme="majorEastAsia" w:hAnsi="KorolevLiU Bold" w:cs="Times New Roman (CS-rubriker)"/>
      <w:b/>
      <w:color w:val="000000" w:themeColor="text1"/>
      <w:sz w:val="28"/>
      <w:szCs w:val="26"/>
      <w:u w:val="single"/>
      <w:lang w:val="en-US" w:eastAsia="sv-SE"/>
    </w:rPr>
  </w:style>
  <w:style w:type="character" w:styleId="Hyperlnk">
    <w:name w:val="Hyperlink"/>
    <w:basedOn w:val="Standardstycketeckensnitt"/>
    <w:uiPriority w:val="99"/>
    <w:unhideWhenUsed/>
    <w:rsid w:val="00743B6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743B6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AF3909"/>
  </w:style>
  <w:style w:type="character" w:customStyle="1" w:styleId="Rubrik1Char">
    <w:name w:val="Rubrik 1 Char"/>
    <w:basedOn w:val="Standardstycketeckensnitt"/>
    <w:link w:val="Rubrik1"/>
    <w:uiPriority w:val="9"/>
    <w:rsid w:val="006136D7"/>
    <w:rPr>
      <w:rFonts w:ascii="KorolevLiU Medium" w:eastAsiaTheme="majorEastAsia" w:hAnsi="KorolevLiU Medium" w:cstheme="majorBidi"/>
      <w:color w:val="000000" w:themeColor="text1"/>
      <w:sz w:val="36"/>
      <w:szCs w:val="32"/>
      <w:lang w:val="en-US"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6523E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3430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4309"/>
    <w:rPr>
      <w:rFonts w:eastAsiaTheme="minorEastAsia" w:cs="Georgia"/>
      <w:color w:val="000000"/>
      <w:szCs w:val="21"/>
      <w:lang w:val="en-US" w:eastAsia="sv-SE"/>
    </w:rPr>
  </w:style>
  <w:style w:type="paragraph" w:styleId="Sidfot">
    <w:name w:val="footer"/>
    <w:basedOn w:val="Normal"/>
    <w:link w:val="SidfotChar"/>
    <w:uiPriority w:val="99"/>
    <w:unhideWhenUsed/>
    <w:rsid w:val="0013430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4309"/>
    <w:rPr>
      <w:rFonts w:eastAsiaTheme="minorEastAsia" w:cs="Georgia"/>
      <w:color w:val="000000"/>
      <w:szCs w:val="21"/>
      <w:lang w:val="en-US" w:eastAsia="sv-SE"/>
    </w:rPr>
  </w:style>
  <w:style w:type="table" w:styleId="Tabellrutnt">
    <w:name w:val="Table Grid"/>
    <w:basedOn w:val="Normaltabell"/>
    <w:uiPriority w:val="59"/>
    <w:rsid w:val="00134309"/>
    <w:rPr>
      <w:rFonts w:ascii="Georgia" w:eastAsiaTheme="minorEastAsia" w:hAnsi="Georgia"/>
      <w:sz w:val="21"/>
      <w:lang w:eastAsia="sv-SE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3234"/>
    <w:rPr>
      <w:rFonts w:asciiTheme="majorHAnsi" w:eastAsiaTheme="majorEastAsia" w:hAnsiTheme="majorHAnsi" w:cstheme="majorBidi"/>
      <w:i/>
      <w:iCs/>
      <w:color w:val="2F5496" w:themeColor="accent1" w:themeShade="BF"/>
      <w:szCs w:val="21"/>
      <w:lang w:val="en-US" w:eastAsia="sv-SE"/>
    </w:rPr>
  </w:style>
  <w:style w:type="paragraph" w:styleId="Normalwebb">
    <w:name w:val="Normal (Web)"/>
    <w:basedOn w:val="Normal"/>
    <w:uiPriority w:val="99"/>
    <w:unhideWhenUsed/>
    <w:rsid w:val="00DD03AA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Cs w:val="24"/>
      <w:lang w:val="sv-SE"/>
    </w:rPr>
  </w:style>
  <w:style w:type="paragraph" w:styleId="Ingetavstn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sa=t&amp;rct=j&amp;q=&amp;esrc=s&amp;source=web&amp;cd=&amp;ved=2ahUKEwjW0tyH0tX7AhWocvEDHWncAaIQFnoECAkQAQ&amp;url=https%3A%2F%2Fwww.foi.se%2Frest-api%2Freport%2FFOI-R--3388--SE&amp;usg=AOvVaw1D9l1yBSW7VNwXIdGTcGM4" TargetMode="External"/><Relationship Id="rId18" Type="http://schemas.openxmlformats.org/officeDocument/2006/relationships/hyperlink" Target="https://www.riksdagen.se/sv/dokument-lagar/dokument/svensk-%20forfattningssamling/forordning-20181428-om-myndigheters_sfs-2018-1428" TargetMode="External"/><Relationship Id="rId26" Type="http://schemas.openxmlformats.org/officeDocument/2006/relationships/hyperlink" Target="https://rib.msb.se/filer/pdf/30043.pdf" TargetMode="External"/><Relationship Id="rId39" Type="http://schemas.openxmlformats.org/officeDocument/2006/relationships/hyperlink" Target="https://www.regeringen.se/contentassets/0edfad3d44dc4ae092212826a8b67e24/en-strategi-for-sveriges-sakerhet-ds-20061" TargetMode="External"/><Relationship Id="rId21" Type="http://schemas.openxmlformats.org/officeDocument/2006/relationships/hyperlink" Target="https://doi.org/10.1177/0971721819889924" TargetMode="External"/><Relationship Id="rId34" Type="http://schemas.openxmlformats.org/officeDocument/2006/relationships/hyperlink" Target="https://www.msb.se/contentassets/f1298afdc0b1489eb4262d8ccbb63c86/sverige-kommer-att-mota-utmaningarna-2016-06-10.pdf" TargetMode="External"/><Relationship Id="rId42" Type="http://schemas.openxmlformats.org/officeDocument/2006/relationships/hyperlink" Target="http://dx.doi.org/10.1016/j.gloenvcha.2010.08.002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og.lansstyrelsen.se/store/39/resource/DA_2021_3_2" TargetMode="External"/><Relationship Id="rId29" Type="http://schemas.openxmlformats.org/officeDocument/2006/relationships/hyperlink" Target="https://www.riksdagen.se/sv/dokument-lagar/dokument/svensk-%20forfattningssamling/lag-19921403-om-totalforsvar-och-hojd_sfs-1992-14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sa=t&amp;rct=j&amp;q=&amp;esrc=s&amp;source=web&amp;cd=&amp;ved=2ahUKEwi9--z2s-L7AhXTR_EDHU7vCE4QFnoECBwQAQ&amp;url=https%3A%2F%2Fwww.foi.se%2Frest-api%2Freport%2FFOI-R--3288--SE&amp;usg=AOvVaw0mQyXKn-Xb-OomaStNEDyX" TargetMode="External"/><Relationship Id="rId24" Type="http://schemas.openxmlformats.org/officeDocument/2006/relationships/hyperlink" Target="https://www.regeringen.se/contentassets/fc08dfb51d014b3996b719005beb146f/livsmedelsberedskap-for-en-ny-tid-sou-20248.pdf" TargetMode="External"/><Relationship Id="rId32" Type="http://schemas.openxmlformats.org/officeDocument/2006/relationships/hyperlink" Target="https://www.msb.se/contentassets/1c4dbd86270049cbb3fef7113dc4745d/foreksrifter-myndigheter-rsa.pdf" TargetMode="External"/><Relationship Id="rId37" Type="http://schemas.openxmlformats.org/officeDocument/2006/relationships/hyperlink" Target="https://www.msb.se/siteassets/dokument/regler/rs/153e4f90-d672-4fd5-a86f-f0ebb08cea28.pdf" TargetMode="External"/><Relationship Id="rId40" Type="http://schemas.openxmlformats.org/officeDocument/2006/relationships/hyperlink" Target="https://www.klimatanpassning.se/klimatanpassa/vagledning-for-klimatanpassning/hantera-risker/samhallsplanering-1.89112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i.org/10.1080/00221340701678032" TargetMode="External"/><Relationship Id="rId23" Type="http://schemas.openxmlformats.org/officeDocument/2006/relationships/hyperlink" Target="https://ec.europa.eu/food/sites/food/files/safety/docs/f2f_action-plan_2020_strategy-info_en.pdf" TargetMode="External"/><Relationship Id="rId28" Type="http://schemas.openxmlformats.org/officeDocument/2006/relationships/hyperlink" Target="https://www.msb.se/kontinuitetshantering" TargetMode="External"/><Relationship Id="rId36" Type="http://schemas.openxmlformats.org/officeDocument/2006/relationships/hyperlink" Target="https://www.regeringen.se/rattsliga-%20dokument/departementsserien-och-promemorior/2017/12/ds-201766/" TargetMode="External"/><Relationship Id="rId10" Type="http://schemas.openxmlformats.org/officeDocument/2006/relationships/hyperlink" Target="https://www.msb.se/sv/publikationer/vagledning-for-risk--och-sarbarhetsanalyser/" TargetMode="External"/><Relationship Id="rId19" Type="http://schemas.openxmlformats.org/officeDocument/2006/relationships/hyperlink" Target="https://www.ipcc.ch/report/ar6/wg2/downloads/report/IPCC_AR6_WGII_Chapter01.pdf" TargetMode="External"/><Relationship Id="rId31" Type="http://schemas.openxmlformats.org/officeDocument/2006/relationships/hyperlink" Target="https://www.riksdagen.se/sv/dokument-lagar/dokument/svensk-%20forfattningssamling/forordning-20151052-om-krisberedskap-och_sfs-2015-1052" TargetMode="External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.org/10.1002/fes3.154" TargetMode="External"/><Relationship Id="rId14" Type="http://schemas.openxmlformats.org/officeDocument/2006/relationships/hyperlink" Target="https://www.msb.se/contentassets/73c39aa9574644f7ab9948319cc17cf8/risk_sarbarhet_kronobergs_lan_2003.pdf" TargetMode="External"/><Relationship Id="rId22" Type="http://schemas.openxmlformats.org/officeDocument/2006/relationships/hyperlink" Target="https://doi.org/10.4060/ca9692en" TargetMode="External"/><Relationship Id="rId27" Type="http://schemas.openxmlformats.org/officeDocument/2006/relationships/hyperlink" Target="https://rib.msb.se/filer/pdf/27978.pdf" TargetMode="External"/><Relationship Id="rId30" Type="http://schemas.openxmlformats.org/officeDocument/2006/relationships/hyperlink" Target="https://www.riksdagen.se/sv/dokument-lagar/dokument/svensk-%20forfattningssamling/forordning-20151053-om-totalforsvar-och-hojd_sfs-2015-1053" TargetMode="External"/><Relationship Id="rId35" Type="http://schemas.openxmlformats.org/officeDocument/2006/relationships/hyperlink" Target="https://www.msb.se/contentassets/f1298afdc0b1489eb4262d8ccbb63c86/oppen-sammanfattning-av-redovisning-av-regeringsuppdrag-11-maj-2017-190216.pdf" TargetMode="External"/><Relationship Id="rId43" Type="http://schemas.openxmlformats.org/officeDocument/2006/relationships/hyperlink" Target="https://www.ipcc.ch/site/assets/uploads/2021/02/Risk-guidance-FINAL_15Feb2021.pdf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oi.se/rest-api/report/FOI-R--4656--SE" TargetMode="External"/><Relationship Id="rId17" Type="http://schemas.openxmlformats.org/officeDocument/2006/relationships/hyperlink" Target="https://www.regeringen.se/494483/contentassets/8c1f4fe980ec4fcb8448251acde6bd08/171816300_webb.pdf" TargetMode="External"/><Relationship Id="rId25" Type="http://schemas.openxmlformats.org/officeDocument/2006/relationships/hyperlink" Target="https://www.livsmedelsverket.se/globalassets/om-oss/redovisade-reguppdrag/oppen-sammanfattning-livskraft-matt-och-frisk.pdf" TargetMode="External"/><Relationship Id="rId33" Type="http://schemas.openxmlformats.org/officeDocument/2006/relationships/hyperlink" Target="https://www.msb.se/contentassets/69ade352aed24346a34883ed52f9c46b/foreskrifter-landstings-rsa.pdf" TargetMode="External"/><Relationship Id="rId38" Type="http://schemas.openxmlformats.org/officeDocument/2006/relationships/hyperlink" Target="https://www.riksdagen.se/sv/dokument-%20lagar/dokument/proposition/forsvarspolitisk-%20inriktning---sveriges-forsvar_H203109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smhi.se/polopoly_fs/1.199795!/Klimatologi_72%20Klimat%20i%20f&#246;r&#228;ndring%202023%20Syntesrapport.pdf" TargetMode="External"/><Relationship Id="rId41" Type="http://schemas.openxmlformats.org/officeDocument/2006/relationships/hyperlink" Target="https://www.ipcc.ch/report/ar6/wg2/downloads/report/IPCC_AR6_WGII_Chapter01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002B0979382443B882E120CEC74519" ma:contentTypeVersion="5" ma:contentTypeDescription="Skapa ett nytt dokument." ma:contentTypeScope="" ma:versionID="13b6a13092cecf7a50b3e9c7e5bc1780">
  <xsd:schema xmlns:xsd="http://www.w3.org/2001/XMLSchema" xmlns:xs="http://www.w3.org/2001/XMLSchema" xmlns:p="http://schemas.microsoft.com/office/2006/metadata/properties" xmlns:ns2="16c03a37-6fc7-42b3-85d0-6b55f3d2b918" xmlns:ns3="f2f92e8a-bea5-4371-af94-740aeefa0a51" targetNamespace="http://schemas.microsoft.com/office/2006/metadata/properties" ma:root="true" ma:fieldsID="b568355747250f84195d2e9efd215c63" ns2:_="" ns3:_="">
    <xsd:import namespace="16c03a37-6fc7-42b3-85d0-6b55f3d2b918"/>
    <xsd:import namespace="f2f92e8a-bea5-4371-af94-740aeefa0a51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3a37-6fc7-42b3-85d0-6b55f3d2b918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2e8a-bea5-4371-af94-740aeefa0a51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f2f92e8a-bea5-4371-af94-740aeefa0a51">2.0</_lisam_PublishedVersion>
    <_lisam_Description xmlns="16c03a37-6fc7-42b3-85d0-6b55f3d2b918" xsi:nil="true"/>
  </documentManagement>
</p:properties>
</file>

<file path=customXml/itemProps1.xml><?xml version="1.0" encoding="utf-8"?>
<ds:datastoreItem xmlns:ds="http://schemas.openxmlformats.org/officeDocument/2006/customXml" ds:itemID="{9446FF82-26A8-4E7C-B60F-4CC828504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DDEF0-578B-4A0A-988A-E27870D31071}"/>
</file>

<file path=customXml/itemProps3.xml><?xml version="1.0" encoding="utf-8"?>
<ds:datastoreItem xmlns:ds="http://schemas.openxmlformats.org/officeDocument/2006/customXml" ds:itemID="{FA806210-C950-4336-98A1-B518FD946647}">
  <ds:schemaRefs>
    <ds:schemaRef ds:uri="http://schemas.microsoft.com/office/2006/metadata/properties"/>
    <ds:schemaRef ds:uri="http://schemas.microsoft.com/office/infopath/2007/PartnerControls"/>
    <ds:schemaRef ds:uri="704cd9e4-d730-4d51-85e4-56edc1a72491"/>
    <ds:schemaRef ds:uri="3a68fb1c-967d-48b2-bb8e-69d069d75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3063</Words>
  <Characters>16240</Characters>
  <Application>Microsoft Office Word</Application>
  <DocSecurity>0</DocSecurity>
  <Lines>135</Lines>
  <Paragraphs>38</Paragraphs>
  <ScaleCrop>false</ScaleCrop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Lotten Wiréhn</dc:creator>
  <cp:keywords/>
  <dc:description/>
  <cp:lastModifiedBy>Lotten Wiréhn</cp:lastModifiedBy>
  <cp:revision>7</cp:revision>
  <dcterms:created xsi:type="dcterms:W3CDTF">2025-10-11T08:23:00Z</dcterms:created>
  <dcterms:modified xsi:type="dcterms:W3CDTF">2025-10-11T08:37:00Z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0x0101007C002B0979382443B882E120CEC74519</vt:lpwstr>
  </property>
</Properties>
</file>